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361" w:rsidRDefault="0066145D">
      <w:pPr>
        <w:pStyle w:val="30"/>
        <w:framePr w:w="9456" w:h="14566" w:hRule="exact" w:wrap="none" w:vAnchor="page" w:hAnchor="page" w:x="1289" w:y="1010"/>
        <w:shd w:val="clear" w:color="auto" w:fill="auto"/>
        <w:spacing w:after="273"/>
        <w:ind w:right="20"/>
      </w:pPr>
      <w:r>
        <w:t>СОВЕТ ДЕПУТАТОВ</w:t>
      </w:r>
      <w:r>
        <w:br/>
        <w:t>МУНИЦИПАЛЬНОГО ОБРАЗОВАНИЯ</w:t>
      </w:r>
      <w:r>
        <w:br/>
        <w:t>ГАНЬКОВСКОЕ СЕЛЬСКОЕ ПОСЕЛЕНИЕ</w:t>
      </w:r>
      <w:r>
        <w:br/>
        <w:t>ТИХВИНСКОГО МУНИЦИПАЛЬНОГО РАЙОНА</w:t>
      </w:r>
      <w:r>
        <w:br/>
        <w:t>ЛЕНИНГРАДСКОЙ ОБЛАСТИ</w:t>
      </w:r>
    </w:p>
    <w:p w:rsidR="003D5361" w:rsidRDefault="0066145D">
      <w:pPr>
        <w:pStyle w:val="30"/>
        <w:framePr w:w="9456" w:h="14566" w:hRule="exact" w:wrap="none" w:vAnchor="page" w:hAnchor="page" w:x="1289" w:y="1010"/>
        <w:shd w:val="clear" w:color="auto" w:fill="auto"/>
        <w:spacing w:after="170" w:line="280" w:lineRule="exact"/>
        <w:ind w:right="20"/>
      </w:pPr>
      <w:r>
        <w:rPr>
          <w:rStyle w:val="34pt"/>
          <w:b/>
          <w:bCs/>
        </w:rPr>
        <w:t>РЕШЕНИЕ</w:t>
      </w:r>
    </w:p>
    <w:p w:rsidR="003D5361" w:rsidRDefault="0066145D">
      <w:pPr>
        <w:pStyle w:val="20"/>
        <w:framePr w:w="9456" w:h="14566" w:hRule="exact" w:wrap="none" w:vAnchor="page" w:hAnchor="page" w:x="1289" w:y="1010"/>
        <w:shd w:val="clear" w:color="auto" w:fill="auto"/>
        <w:tabs>
          <w:tab w:val="left" w:pos="8270"/>
        </w:tabs>
      </w:pPr>
      <w:r>
        <w:t>От 29 октября 2010 года</w:t>
      </w:r>
      <w:r>
        <w:tab/>
        <w:t>№04-57</w:t>
      </w:r>
    </w:p>
    <w:p w:rsidR="003D5361" w:rsidRDefault="002D18FC">
      <w:pPr>
        <w:pStyle w:val="20"/>
        <w:framePr w:w="9456" w:h="14566" w:hRule="exact" w:wrap="none" w:vAnchor="page" w:hAnchor="page" w:x="1289" w:y="1010"/>
        <w:shd w:val="clear" w:color="auto" w:fill="auto"/>
      </w:pPr>
      <w:r>
        <w:t>«</w:t>
      </w:r>
      <w:r w:rsidR="0066145D">
        <w:t>О земельном налоге»</w:t>
      </w:r>
    </w:p>
    <w:p w:rsidR="003D5361" w:rsidRDefault="0066145D">
      <w:pPr>
        <w:pStyle w:val="20"/>
        <w:framePr w:w="9456" w:h="14566" w:hRule="exact" w:wrap="none" w:vAnchor="page" w:hAnchor="page" w:x="1289" w:y="1010"/>
        <w:shd w:val="clear" w:color="auto" w:fill="auto"/>
        <w:tabs>
          <w:tab w:val="left" w:pos="4555"/>
        </w:tabs>
        <w:spacing w:line="322" w:lineRule="exact"/>
        <w:ind w:firstLine="320"/>
      </w:pPr>
      <w:r>
        <w:t>В соответствии с главой 31 Налогового кодекса Российской Федерации (в редакции Федерального закона от 27.07.2010 года № 229-ФЗ «О внесении изменений в часть первую и часть вторую Налогового Кодекса Российской Федерации и некоторые другие законодательные акты Российской Федерации, а также о признании утратившими силу отдельных законодательных актов (положений законодательных актов) Российской Федерации в связи с урегулированием задолженности по уплате налогов, сборов, пеней и штрафов и некоторых иных вопросов налогового администрирования»), подпунктом 2 пункта 1 статьи 14 Федеральным законом от 06 октября 2003 года № 131-ФЗ «Об общих принципах организации местного самоуправления в Российской Федерации» и Уставом муниципального образования Ганьковское сельское поселение Тихвинского муниципального района Ленинградской области, Совет депутатов Ганьковского сельского поселения</w:t>
      </w:r>
      <w:r>
        <w:tab/>
        <w:t>' '</w:t>
      </w:r>
    </w:p>
    <w:p w:rsidR="003D5361" w:rsidRDefault="0066145D">
      <w:pPr>
        <w:pStyle w:val="20"/>
        <w:framePr w:w="9456" w:h="14566" w:hRule="exact" w:wrap="none" w:vAnchor="page" w:hAnchor="page" w:x="1289" w:y="1010"/>
        <w:shd w:val="clear" w:color="auto" w:fill="auto"/>
        <w:spacing w:line="322" w:lineRule="exact"/>
        <w:ind w:firstLine="320"/>
      </w:pPr>
      <w:r>
        <w:t>РЕШИЛ:</w:t>
      </w:r>
    </w:p>
    <w:p w:rsidR="003D5361" w:rsidRDefault="0066145D">
      <w:pPr>
        <w:pStyle w:val="20"/>
        <w:framePr w:w="9456" w:h="14566" w:hRule="exact" w:wrap="none" w:vAnchor="page" w:hAnchor="page" w:x="1289" w:y="1010"/>
        <w:numPr>
          <w:ilvl w:val="0"/>
          <w:numId w:val="1"/>
        </w:numPr>
        <w:shd w:val="clear" w:color="auto" w:fill="auto"/>
        <w:tabs>
          <w:tab w:val="left" w:pos="565"/>
        </w:tabs>
        <w:spacing w:line="322" w:lineRule="exact"/>
        <w:ind w:firstLine="320"/>
      </w:pPr>
      <w:r>
        <w:t>Ввести на территории муниципального образования Ганьковское сельское поселение Тихвинского муниципального района Ленинградской области земельный налег и установить ставки, порядок и сроки уплаты налога за земли, находящиеся в пределах границ муниципального образования Ганьковское сельское поселение Тихвинского муниципального района Ленинградской области, основания и порядок применения налоговых льгот.</w:t>
      </w:r>
    </w:p>
    <w:p w:rsidR="003D5361" w:rsidRDefault="0066145D">
      <w:pPr>
        <w:pStyle w:val="30"/>
        <w:framePr w:w="9456" w:h="14566" w:hRule="exact" w:wrap="none" w:vAnchor="page" w:hAnchor="page" w:x="1289" w:y="1010"/>
        <w:numPr>
          <w:ilvl w:val="0"/>
          <w:numId w:val="1"/>
        </w:numPr>
        <w:shd w:val="clear" w:color="auto" w:fill="auto"/>
        <w:tabs>
          <w:tab w:val="left" w:pos="652"/>
        </w:tabs>
        <w:spacing w:after="0"/>
        <w:ind w:firstLine="320"/>
        <w:jc w:val="both"/>
      </w:pPr>
      <w:r>
        <w:t>Налоговые ставки.</w:t>
      </w:r>
    </w:p>
    <w:p w:rsidR="003D5361" w:rsidRDefault="0066145D">
      <w:pPr>
        <w:pStyle w:val="20"/>
        <w:framePr w:w="9456" w:h="14566" w:hRule="exact" w:wrap="none" w:vAnchor="page" w:hAnchor="page" w:x="1289" w:y="1010"/>
        <w:shd w:val="clear" w:color="auto" w:fill="auto"/>
        <w:spacing w:line="322" w:lineRule="exact"/>
        <w:ind w:firstLine="320"/>
      </w:pPr>
      <w:r>
        <w:t>Установить налоговые ставки в следующих размерах:</w:t>
      </w:r>
    </w:p>
    <w:p w:rsidR="003D5361" w:rsidRDefault="0066145D">
      <w:pPr>
        <w:pStyle w:val="20"/>
        <w:framePr w:w="9456" w:h="14566" w:hRule="exact" w:wrap="none" w:vAnchor="page" w:hAnchor="page" w:x="1289" w:y="1010"/>
        <w:numPr>
          <w:ilvl w:val="1"/>
          <w:numId w:val="1"/>
        </w:numPr>
        <w:shd w:val="clear" w:color="auto" w:fill="auto"/>
        <w:tabs>
          <w:tab w:val="left" w:pos="565"/>
        </w:tabs>
        <w:spacing w:line="322" w:lineRule="exact"/>
      </w:pPr>
      <w:r>
        <w:t>0,03 процента от кадастровой стоимости участка в отношении земельных участков:</w:t>
      </w:r>
    </w:p>
    <w:p w:rsidR="003D5361" w:rsidRDefault="0066145D">
      <w:pPr>
        <w:pStyle w:val="20"/>
        <w:framePr w:w="9456" w:h="14566" w:hRule="exact" w:wrap="none" w:vAnchor="page" w:hAnchor="page" w:x="1289" w:y="1010"/>
        <w:shd w:val="clear" w:color="auto" w:fill="auto"/>
        <w:spacing w:line="322" w:lineRule="exact"/>
        <w:ind w:firstLine="940"/>
      </w:pPr>
      <w:r>
        <w:t>-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3D5361" w:rsidRDefault="0066145D">
      <w:pPr>
        <w:pStyle w:val="20"/>
        <w:framePr w:w="9456" w:h="14566" w:hRule="exact" w:wrap="none" w:vAnchor="page" w:hAnchor="page" w:x="1289" w:y="1010"/>
        <w:numPr>
          <w:ilvl w:val="1"/>
          <w:numId w:val="1"/>
        </w:numPr>
        <w:shd w:val="clear" w:color="auto" w:fill="auto"/>
        <w:tabs>
          <w:tab w:val="left" w:pos="565"/>
        </w:tabs>
        <w:spacing w:line="322" w:lineRule="exact"/>
      </w:pPr>
      <w:r>
        <w:t>0,1 процента от кадастровой стоимости участка в отношении земельных участков:</w:t>
      </w:r>
    </w:p>
    <w:p w:rsidR="003D5361" w:rsidRDefault="0066145D">
      <w:pPr>
        <w:pStyle w:val="20"/>
        <w:framePr w:w="9456" w:h="14566" w:hRule="exact" w:wrap="none" w:vAnchor="page" w:hAnchor="page" w:x="1289" w:y="1010"/>
        <w:shd w:val="clear" w:color="auto" w:fill="auto"/>
        <w:spacing w:line="341" w:lineRule="exact"/>
        <w:ind w:firstLine="820"/>
        <w:jc w:val="left"/>
      </w:pPr>
      <w:r>
        <w:t>- приобретенных (предоставленных) для личного подсобного хозяйства.</w:t>
      </w:r>
    </w:p>
    <w:p w:rsidR="003D5361" w:rsidRDefault="003D5361">
      <w:pPr>
        <w:rPr>
          <w:sz w:val="2"/>
          <w:szCs w:val="2"/>
        </w:rPr>
        <w:sectPr w:rsidR="003D53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5361" w:rsidRDefault="0066145D">
      <w:pPr>
        <w:pStyle w:val="20"/>
        <w:framePr w:w="9398" w:h="14548" w:hRule="exact" w:wrap="none" w:vAnchor="page" w:hAnchor="page" w:x="1318" w:y="961"/>
        <w:numPr>
          <w:ilvl w:val="1"/>
          <w:numId w:val="1"/>
        </w:numPr>
        <w:shd w:val="clear" w:color="auto" w:fill="auto"/>
        <w:tabs>
          <w:tab w:val="left" w:pos="529"/>
        </w:tabs>
        <w:spacing w:line="322" w:lineRule="exact"/>
      </w:pPr>
      <w:r>
        <w:lastRenderedPageBreak/>
        <w:t>0,15 процента от кадастровой стоимости участка в отношении земельных</w:t>
      </w:r>
    </w:p>
    <w:p w:rsidR="003D5361" w:rsidRDefault="0066145D">
      <w:pPr>
        <w:pStyle w:val="20"/>
        <w:framePr w:w="9398" w:h="14548" w:hRule="exact" w:wrap="none" w:vAnchor="page" w:hAnchor="page" w:x="1318" w:y="961"/>
        <w:shd w:val="clear" w:color="auto" w:fill="auto"/>
        <w:tabs>
          <w:tab w:val="left" w:pos="2774"/>
          <w:tab w:val="left" w:pos="4320"/>
        </w:tabs>
        <w:spacing w:line="322" w:lineRule="exact"/>
      </w:pPr>
      <w:r>
        <w:t>участков:</w:t>
      </w:r>
    </w:p>
    <w:p w:rsidR="003D5361" w:rsidRDefault="0066145D">
      <w:pPr>
        <w:pStyle w:val="20"/>
        <w:framePr w:w="9398" w:h="14548" w:hRule="exact" w:wrap="none" w:vAnchor="page" w:hAnchor="page" w:x="1318" w:y="961"/>
        <w:shd w:val="clear" w:color="auto" w:fill="auto"/>
        <w:spacing w:line="322" w:lineRule="exact"/>
        <w:ind w:firstLine="1100"/>
      </w:pPr>
      <w:r>
        <w:t>предназначенных для размещения домов многоэтажной и индивидуальной жилой застройки (за исключением доли в праве на земельный участок, приходящийся на объект, не относящийся к жилищному фонду);</w:t>
      </w:r>
    </w:p>
    <w:p w:rsidR="003D5361" w:rsidRDefault="0066145D">
      <w:pPr>
        <w:pStyle w:val="20"/>
        <w:framePr w:w="9398" w:h="14548" w:hRule="exact" w:wrap="none" w:vAnchor="page" w:hAnchor="page" w:x="1318" w:y="961"/>
        <w:shd w:val="clear" w:color="auto" w:fill="auto"/>
        <w:spacing w:line="322" w:lineRule="exact"/>
        <w:ind w:firstLine="740"/>
      </w:pPr>
      <w:r>
        <w:t>- предназначенных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религии.</w:t>
      </w:r>
    </w:p>
    <w:p w:rsidR="003D5361" w:rsidRDefault="0066145D">
      <w:pPr>
        <w:pStyle w:val="20"/>
        <w:framePr w:w="9398" w:h="14548" w:hRule="exact" w:wrap="none" w:vAnchor="page" w:hAnchor="page" w:x="1318" w:y="961"/>
        <w:numPr>
          <w:ilvl w:val="1"/>
          <w:numId w:val="1"/>
        </w:numPr>
        <w:shd w:val="clear" w:color="auto" w:fill="auto"/>
        <w:tabs>
          <w:tab w:val="left" w:pos="538"/>
        </w:tabs>
        <w:spacing w:line="322" w:lineRule="exact"/>
      </w:pPr>
      <w:r>
        <w:t>0,3 процента от кадастровой стоимости участка в отношении земельных участков:</w:t>
      </w:r>
    </w:p>
    <w:p w:rsidR="003D5361" w:rsidRDefault="0066145D">
      <w:pPr>
        <w:pStyle w:val="20"/>
        <w:framePr w:w="9398" w:h="14548" w:hRule="exact" w:wrap="none" w:vAnchor="page" w:hAnchor="page" w:x="1318" w:y="961"/>
        <w:numPr>
          <w:ilvl w:val="0"/>
          <w:numId w:val="2"/>
        </w:numPr>
        <w:shd w:val="clear" w:color="auto" w:fill="auto"/>
        <w:tabs>
          <w:tab w:val="left" w:pos="1038"/>
        </w:tabs>
        <w:spacing w:line="322" w:lineRule="exact"/>
        <w:ind w:firstLine="860"/>
      </w:pPr>
      <w:r>
        <w:t>приобретенных (предоставленных) для садоводства, огородничества или животноводства, а также дачного хозяйства;</w:t>
      </w:r>
    </w:p>
    <w:p w:rsidR="003D5361" w:rsidRDefault="0066145D">
      <w:pPr>
        <w:pStyle w:val="20"/>
        <w:framePr w:w="9398" w:h="14548" w:hRule="exact" w:wrap="none" w:vAnchor="page" w:hAnchor="page" w:x="1318" w:y="961"/>
        <w:numPr>
          <w:ilvl w:val="0"/>
          <w:numId w:val="2"/>
        </w:numPr>
        <w:shd w:val="clear" w:color="auto" w:fill="auto"/>
        <w:tabs>
          <w:tab w:val="left" w:pos="1279"/>
        </w:tabs>
        <w:spacing w:line="322" w:lineRule="exact"/>
        <w:ind w:firstLine="860"/>
      </w:pPr>
      <w:r>
        <w:t>занятых объектами инженерной инфраструктуры жилищно- коммунального комплекса (за исключением доли в праве на земельный участок, приходящийся на объект, не относящийся к объектам инженерной инфраструктуры жилищно-коммунального комплекса),</w:t>
      </w:r>
    </w:p>
    <w:p w:rsidR="003D5361" w:rsidRDefault="0066145D">
      <w:pPr>
        <w:pStyle w:val="20"/>
        <w:framePr w:w="9398" w:h="14548" w:hRule="exact" w:wrap="none" w:vAnchor="page" w:hAnchor="page" w:x="1318" w:y="961"/>
        <w:numPr>
          <w:ilvl w:val="1"/>
          <w:numId w:val="1"/>
        </w:numPr>
        <w:shd w:val="clear" w:color="auto" w:fill="auto"/>
        <w:tabs>
          <w:tab w:val="left" w:pos="1279"/>
        </w:tabs>
        <w:spacing w:line="322" w:lineRule="exact"/>
        <w:ind w:firstLine="740"/>
      </w:pPr>
      <w:r>
        <w:t>1,5 процента от кадастровой стоимости участка в отношении прочих земельных участков.</w:t>
      </w:r>
    </w:p>
    <w:p w:rsidR="003D5361" w:rsidRDefault="0066145D">
      <w:pPr>
        <w:pStyle w:val="10"/>
        <w:framePr w:w="9398" w:h="14548" w:hRule="exact" w:wrap="none" w:vAnchor="page" w:hAnchor="page" w:x="1318" w:y="961"/>
        <w:numPr>
          <w:ilvl w:val="0"/>
          <w:numId w:val="1"/>
        </w:numPr>
        <w:shd w:val="clear" w:color="auto" w:fill="auto"/>
        <w:tabs>
          <w:tab w:val="left" w:pos="607"/>
        </w:tabs>
        <w:ind w:left="280"/>
      </w:pPr>
      <w:bookmarkStart w:id="0" w:name="bookmark0"/>
      <w:r>
        <w:t>Налоговые льготы.</w:t>
      </w:r>
      <w:bookmarkEnd w:id="0"/>
    </w:p>
    <w:p w:rsidR="003D5361" w:rsidRDefault="0066145D">
      <w:pPr>
        <w:pStyle w:val="20"/>
        <w:framePr w:w="9398" w:h="14548" w:hRule="exact" w:wrap="none" w:vAnchor="page" w:hAnchor="page" w:x="1318" w:y="961"/>
        <w:numPr>
          <w:ilvl w:val="1"/>
          <w:numId w:val="1"/>
        </w:numPr>
        <w:shd w:val="clear" w:color="auto" w:fill="auto"/>
        <w:tabs>
          <w:tab w:val="left" w:pos="909"/>
        </w:tabs>
        <w:spacing w:line="322" w:lineRule="exact"/>
        <w:ind w:firstLine="380"/>
      </w:pPr>
      <w:r>
        <w:t>Освободить от уплаты нал</w:t>
      </w:r>
      <w:r w:rsidR="002D18FC">
        <w:t>о</w:t>
      </w:r>
      <w:r>
        <w:t>га:</w:t>
      </w:r>
    </w:p>
    <w:p w:rsidR="003D5361" w:rsidRDefault="0066145D">
      <w:pPr>
        <w:pStyle w:val="20"/>
        <w:framePr w:w="9398" w:h="14548" w:hRule="exact" w:wrap="none" w:vAnchor="page" w:hAnchor="page" w:x="1318" w:y="961"/>
        <w:numPr>
          <w:ilvl w:val="0"/>
          <w:numId w:val="2"/>
        </w:numPr>
        <w:shd w:val="clear" w:color="auto" w:fill="auto"/>
        <w:tabs>
          <w:tab w:val="left" w:pos="217"/>
        </w:tabs>
        <w:spacing w:line="322" w:lineRule="exact"/>
      </w:pPr>
      <w:r>
        <w:t>организации и учреждения, осуществляющие свою деятельность за счет средств бюджетов муниципальных образований Тихвинского района на основе сметы доходов и расходов - в отношении земельных участков, предоставленных для непосредственного выполнения возложенных на эти организации и учреждения функций;</w:t>
      </w:r>
    </w:p>
    <w:p w:rsidR="003D5361" w:rsidRDefault="0066145D">
      <w:pPr>
        <w:pStyle w:val="20"/>
        <w:framePr w:w="9398" w:h="14548" w:hRule="exact" w:wrap="none" w:vAnchor="page" w:hAnchor="page" w:x="1318" w:y="961"/>
        <w:numPr>
          <w:ilvl w:val="0"/>
          <w:numId w:val="2"/>
        </w:numPr>
        <w:shd w:val="clear" w:color="auto" w:fill="auto"/>
        <w:tabs>
          <w:tab w:val="left" w:pos="217"/>
        </w:tabs>
        <w:spacing w:line="322" w:lineRule="exact"/>
      </w:pPr>
      <w:r>
        <w:t>товарищества собственников жилья, жилищно-строительные кооперативы - в отношении земельных участков под многоквартирными жилыми домами;</w:t>
      </w:r>
    </w:p>
    <w:p w:rsidR="003D5361" w:rsidRDefault="0066145D">
      <w:pPr>
        <w:pStyle w:val="20"/>
        <w:framePr w:w="9398" w:h="14548" w:hRule="exact" w:wrap="none" w:vAnchor="page" w:hAnchor="page" w:x="1318" w:y="961"/>
        <w:numPr>
          <w:ilvl w:val="0"/>
          <w:numId w:val="2"/>
        </w:numPr>
        <w:shd w:val="clear" w:color="auto" w:fill="auto"/>
        <w:tabs>
          <w:tab w:val="left" w:pos="217"/>
        </w:tabs>
        <w:spacing w:line="322" w:lineRule="exact"/>
      </w:pPr>
      <w:r>
        <w:t>учреждения здравоохранения, образования, финансируемые из областного бюджета Ленинградской области.</w:t>
      </w:r>
    </w:p>
    <w:p w:rsidR="003D5361" w:rsidRDefault="0066145D">
      <w:pPr>
        <w:pStyle w:val="20"/>
        <w:framePr w:w="9398" w:h="14548" w:hRule="exact" w:wrap="none" w:vAnchor="page" w:hAnchor="page" w:x="1318" w:y="961"/>
        <w:numPr>
          <w:ilvl w:val="1"/>
          <w:numId w:val="1"/>
        </w:numPr>
        <w:shd w:val="clear" w:color="auto" w:fill="auto"/>
        <w:tabs>
          <w:tab w:val="left" w:pos="989"/>
        </w:tabs>
        <w:spacing w:line="322" w:lineRule="exact"/>
        <w:ind w:firstLine="380"/>
      </w:pPr>
      <w:r>
        <w:t>Уменьшить налоговую базу (кадастровую стоимость земельного участка) на не облагаемую налогом сумму в размере 200 000 рублей на одного налогоплательщика в отношении земельного участка, находящегося в собственности, постоянном (бессрочном) пользовании или пожизненном наследуемом владении для категорий налогоплательщиков, перечисленных в п.5 статьи 391 Налогового кодекса Российской Федерации.</w:t>
      </w:r>
    </w:p>
    <w:p w:rsidR="003D5361" w:rsidRDefault="0066145D">
      <w:pPr>
        <w:pStyle w:val="10"/>
        <w:framePr w:w="9398" w:h="14548" w:hRule="exact" w:wrap="none" w:vAnchor="page" w:hAnchor="page" w:x="1318" w:y="961"/>
        <w:numPr>
          <w:ilvl w:val="0"/>
          <w:numId w:val="1"/>
        </w:numPr>
        <w:shd w:val="clear" w:color="auto" w:fill="auto"/>
        <w:tabs>
          <w:tab w:val="left" w:pos="607"/>
        </w:tabs>
        <w:ind w:left="280"/>
      </w:pPr>
      <w:bookmarkStart w:id="1" w:name="bookmark1"/>
      <w:r>
        <w:t>Отчетный период.</w:t>
      </w:r>
      <w:bookmarkEnd w:id="1"/>
    </w:p>
    <w:p w:rsidR="003D5361" w:rsidRDefault="0066145D">
      <w:pPr>
        <w:pStyle w:val="20"/>
        <w:framePr w:w="9398" w:h="14548" w:hRule="exact" w:wrap="none" w:vAnchor="page" w:hAnchor="page" w:x="1318" w:y="961"/>
        <w:shd w:val="clear" w:color="auto" w:fill="auto"/>
        <w:spacing w:line="322" w:lineRule="exact"/>
        <w:ind w:firstLine="380"/>
      </w:pPr>
      <w:r>
        <w:t xml:space="preserve">Отчетными периодами для налогоплательщиков </w:t>
      </w:r>
      <w:r>
        <w:rPr>
          <w:rStyle w:val="21"/>
        </w:rPr>
        <w:t xml:space="preserve">*- </w:t>
      </w:r>
      <w:r>
        <w:t>организаций и физических лиц, являющихся индивидуальными предпринимателями, кроме сельскохозяйственных предприятий, крестьянских хозяйств и их ассоциаций, садоводческих, огороднических и животноводческих товариществ, дачно</w:t>
      </w:r>
      <w:r>
        <w:softHyphen/>
        <w:t>строительных кооперативов признаются первый квартал, второй квартал и третий квартал текущего календарного года.</w:t>
      </w:r>
    </w:p>
    <w:p w:rsidR="003D5361" w:rsidRDefault="0066145D">
      <w:pPr>
        <w:pStyle w:val="10"/>
        <w:framePr w:w="9398" w:h="14548" w:hRule="exact" w:wrap="none" w:vAnchor="page" w:hAnchor="page" w:x="1318" w:y="961"/>
        <w:numPr>
          <w:ilvl w:val="0"/>
          <w:numId w:val="1"/>
        </w:numPr>
        <w:shd w:val="clear" w:color="auto" w:fill="auto"/>
        <w:tabs>
          <w:tab w:val="left" w:pos="543"/>
        </w:tabs>
        <w:ind w:firstLine="280"/>
        <w:jc w:val="left"/>
      </w:pPr>
      <w:bookmarkStart w:id="2" w:name="bookmark2"/>
      <w:r>
        <w:t>Порядок и сроки уплаты земельного налога и авансовых платежей по налогу.</w:t>
      </w:r>
      <w:bookmarkEnd w:id="2"/>
    </w:p>
    <w:p w:rsidR="003D5361" w:rsidRDefault="003D5361">
      <w:pPr>
        <w:rPr>
          <w:sz w:val="2"/>
          <w:szCs w:val="2"/>
        </w:rPr>
        <w:sectPr w:rsidR="003D53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5361" w:rsidRDefault="0066145D">
      <w:pPr>
        <w:pStyle w:val="20"/>
        <w:framePr w:w="9610" w:h="12935" w:hRule="exact" w:wrap="none" w:vAnchor="page" w:hAnchor="page" w:x="1212" w:y="890"/>
        <w:numPr>
          <w:ilvl w:val="1"/>
          <w:numId w:val="1"/>
        </w:numPr>
        <w:shd w:val="clear" w:color="auto" w:fill="auto"/>
        <w:tabs>
          <w:tab w:val="left" w:pos="1044"/>
        </w:tabs>
        <w:spacing w:line="322" w:lineRule="exact"/>
        <w:ind w:firstLine="420"/>
      </w:pPr>
      <w:r>
        <w:lastRenderedPageBreak/>
        <w:t>Налог, подлежащий уплате по истечении налогового периода,</w:t>
      </w:r>
    </w:p>
    <w:p w:rsidR="002D18FC" w:rsidRDefault="002D18FC" w:rsidP="002D18FC">
      <w:pPr>
        <w:pStyle w:val="20"/>
        <w:framePr w:w="9610" w:h="12935" w:hRule="exact" w:wrap="none" w:vAnchor="page" w:hAnchor="page" w:x="1212" w:y="890"/>
        <w:shd w:val="clear" w:color="auto" w:fill="auto"/>
        <w:tabs>
          <w:tab w:val="left" w:pos="3024"/>
          <w:tab w:val="left" w:pos="4574"/>
        </w:tabs>
        <w:spacing w:line="322" w:lineRule="exact"/>
      </w:pPr>
      <w:r>
        <w:t>У</w:t>
      </w:r>
      <w:r w:rsidR="0066145D">
        <w:t>плачивается</w:t>
      </w:r>
    </w:p>
    <w:p w:rsidR="003D5361" w:rsidRDefault="002D18FC" w:rsidP="002D18FC">
      <w:pPr>
        <w:pStyle w:val="20"/>
        <w:framePr w:w="9610" w:h="12935" w:hRule="exact" w:wrap="none" w:vAnchor="page" w:hAnchor="page" w:x="1212" w:y="890"/>
        <w:shd w:val="clear" w:color="auto" w:fill="auto"/>
        <w:tabs>
          <w:tab w:val="left" w:pos="3024"/>
          <w:tab w:val="left" w:pos="4574"/>
        </w:tabs>
        <w:spacing w:line="322" w:lineRule="exact"/>
      </w:pPr>
      <w:r>
        <w:tab/>
        <w:t>-</w:t>
      </w:r>
      <w:r w:rsidR="0066145D">
        <w:t>налогоплательщиками - организациями и физическими лицами, являющимися индивидуальными предпринимателями, не позднее 15 февраля года, следующего за истекшим налоговым периодом;</w:t>
      </w:r>
    </w:p>
    <w:p w:rsidR="003D5361" w:rsidRDefault="0066145D">
      <w:pPr>
        <w:pStyle w:val="20"/>
        <w:framePr w:w="9610" w:h="12935" w:hRule="exact" w:wrap="none" w:vAnchor="page" w:hAnchor="page" w:x="1212" w:y="890"/>
        <w:numPr>
          <w:ilvl w:val="0"/>
          <w:numId w:val="2"/>
        </w:numPr>
        <w:shd w:val="clear" w:color="auto" w:fill="auto"/>
        <w:tabs>
          <w:tab w:val="left" w:pos="562"/>
        </w:tabs>
        <w:spacing w:line="322" w:lineRule="exact"/>
        <w:ind w:right="280" w:firstLine="280"/>
      </w:pPr>
      <w:r>
        <w:t>налогоплательщиками - физическими лицами, не являющимися индивидуальными предпринимателями, не позднее 1 ноября года, следующего за истекшим налоговым периодом.</w:t>
      </w:r>
    </w:p>
    <w:p w:rsidR="003D5361" w:rsidRDefault="0066145D">
      <w:pPr>
        <w:pStyle w:val="20"/>
        <w:framePr w:w="9610" w:h="12935" w:hRule="exact" w:wrap="none" w:vAnchor="page" w:hAnchor="page" w:x="1212" w:y="890"/>
        <w:numPr>
          <w:ilvl w:val="1"/>
          <w:numId w:val="1"/>
        </w:numPr>
        <w:shd w:val="clear" w:color="auto" w:fill="auto"/>
        <w:tabs>
          <w:tab w:val="left" w:pos="902"/>
        </w:tabs>
        <w:spacing w:line="322" w:lineRule="exact"/>
        <w:ind w:right="280" w:firstLine="420"/>
      </w:pPr>
      <w:r>
        <w:t>Налогоплательщики - организации и физические лица, являющиеся индивидуальными предпринимателями, кроме сельскохозяйственных предприятий, крестьянских хозяйств и их ассоциаций, садоводческих, огороднических и животноводческих товариществ, дачно-строительных кооперативов уплачивают авансовые платежи по налогу не позднее 5 дней по окончании месяца, следующего за отчетным периодом.</w:t>
      </w:r>
    </w:p>
    <w:p w:rsidR="003D5361" w:rsidRDefault="0066145D">
      <w:pPr>
        <w:pStyle w:val="20"/>
        <w:framePr w:w="9610" w:h="12935" w:hRule="exact" w:wrap="none" w:vAnchor="page" w:hAnchor="page" w:x="1212" w:y="890"/>
        <w:numPr>
          <w:ilvl w:val="1"/>
          <w:numId w:val="1"/>
        </w:numPr>
        <w:shd w:val="clear" w:color="auto" w:fill="auto"/>
        <w:tabs>
          <w:tab w:val="left" w:pos="1262"/>
        </w:tabs>
        <w:spacing w:line="322" w:lineRule="exact"/>
        <w:ind w:right="280" w:firstLine="420"/>
      </w:pPr>
      <w:r>
        <w:t>Налогоплательщики - сельскохозяйственные предприятия, крестьянские хозяйства и их ассоциации, садоводческие, огород</w:t>
      </w:r>
      <w:r w:rsidR="002D18FC">
        <w:t>н</w:t>
      </w:r>
      <w:r>
        <w:t>ические и животноводческие товарищества, дачно-строительные кооперативы уплачивают авансовые платежи по налогу не позднее 15 сентября и 15 ноября текущего налогового периода и исчисляют их как одну третью соответствующей налоговой ставки процентной доли кадастровой стоимости земельного участка по состоянию на 01 января года, являющегося налоговым периодом.</w:t>
      </w:r>
    </w:p>
    <w:p w:rsidR="003D5361" w:rsidRDefault="0066145D">
      <w:pPr>
        <w:pStyle w:val="10"/>
        <w:framePr w:w="9610" w:h="12935" w:hRule="exact" w:wrap="none" w:vAnchor="page" w:hAnchor="page" w:x="1212" w:y="890"/>
        <w:numPr>
          <w:ilvl w:val="0"/>
          <w:numId w:val="1"/>
        </w:numPr>
        <w:shd w:val="clear" w:color="auto" w:fill="auto"/>
        <w:tabs>
          <w:tab w:val="left" w:pos="577"/>
        </w:tabs>
        <w:ind w:right="280" w:firstLine="280"/>
      </w:pPr>
      <w:bookmarkStart w:id="3" w:name="bookmark3"/>
      <w:r>
        <w:t>Порядок и сроки представления налогоплательщиками документов, подтверждающих право на уменьшение налоговой базы.</w:t>
      </w:r>
      <w:bookmarkEnd w:id="3"/>
    </w:p>
    <w:p w:rsidR="003D5361" w:rsidRDefault="0066145D">
      <w:pPr>
        <w:pStyle w:val="20"/>
        <w:framePr w:w="9610" w:h="12935" w:hRule="exact" w:wrap="none" w:vAnchor="page" w:hAnchor="page" w:x="1212" w:y="890"/>
        <w:shd w:val="clear" w:color="auto" w:fill="auto"/>
        <w:spacing w:line="322" w:lineRule="exact"/>
        <w:ind w:right="280" w:firstLine="740"/>
      </w:pPr>
      <w:r>
        <w:t>Документы, подтверждающие право на уменьшение налоговой базы в соответствии с главой 31 Налогового кодекса Российской Федерации и настоящего решения, предоставляются налогоплательщиками в налоговый орган по месту нахождения земельного участка не позднее 1 февраля года, следующего за истекшим налоговым периодом.</w:t>
      </w:r>
    </w:p>
    <w:p w:rsidR="003D5361" w:rsidRDefault="0066145D">
      <w:pPr>
        <w:pStyle w:val="20"/>
        <w:framePr w:w="9610" w:h="12935" w:hRule="exact" w:wrap="none" w:vAnchor="page" w:hAnchor="page" w:x="1212" w:y="890"/>
        <w:numPr>
          <w:ilvl w:val="0"/>
          <w:numId w:val="1"/>
        </w:numPr>
        <w:shd w:val="clear" w:color="auto" w:fill="auto"/>
        <w:tabs>
          <w:tab w:val="left" w:pos="606"/>
        </w:tabs>
        <w:spacing w:line="322" w:lineRule="exact"/>
        <w:ind w:right="280" w:firstLine="280"/>
      </w:pPr>
      <w:r>
        <w:t>Иные элементы налогообложения по земельному налогу определяются главой 31 Налогового кодекса Российской Федерации.</w:t>
      </w:r>
    </w:p>
    <w:p w:rsidR="003D5361" w:rsidRDefault="0066145D">
      <w:pPr>
        <w:pStyle w:val="20"/>
        <w:framePr w:w="9610" w:h="12935" w:hRule="exact" w:wrap="none" w:vAnchor="page" w:hAnchor="page" w:x="1212" w:y="890"/>
        <w:numPr>
          <w:ilvl w:val="0"/>
          <w:numId w:val="1"/>
        </w:numPr>
        <w:shd w:val="clear" w:color="auto" w:fill="auto"/>
        <w:tabs>
          <w:tab w:val="left" w:pos="562"/>
        </w:tabs>
        <w:spacing w:line="322" w:lineRule="exact"/>
        <w:ind w:right="280" w:firstLine="280"/>
      </w:pPr>
      <w:r>
        <w:t>Настоящее решение вступает в силу с 01 января 2011 года, но не ранее чем по истечении одного месяца со дня его официального опубликования и действует на территории муниципального образования Ганьковское сельское поселение Тихвинского муниципального района Ленинградской области.'</w:t>
      </w:r>
    </w:p>
    <w:p w:rsidR="003D5361" w:rsidRDefault="0066145D">
      <w:pPr>
        <w:pStyle w:val="20"/>
        <w:framePr w:w="9610" w:h="12935" w:hRule="exact" w:wrap="none" w:vAnchor="page" w:hAnchor="page" w:x="1212" w:y="890"/>
        <w:numPr>
          <w:ilvl w:val="0"/>
          <w:numId w:val="1"/>
        </w:numPr>
        <w:shd w:val="clear" w:color="auto" w:fill="auto"/>
        <w:tabs>
          <w:tab w:val="left" w:pos="562"/>
        </w:tabs>
        <w:spacing w:line="322" w:lineRule="exact"/>
        <w:ind w:right="280" w:firstLine="280"/>
      </w:pPr>
      <w:r>
        <w:t>Со дня вступления в силу настоящего решения утрачивает силу (считать утратившим силу) решение Совета депутатов Ганьковского сельского поселения от 12 ноября 2005 года №18 «О земельном налоге» с внесенными в него изменениями и дополнениями.</w:t>
      </w:r>
    </w:p>
    <w:p w:rsidR="003D5361" w:rsidRDefault="0066145D">
      <w:pPr>
        <w:pStyle w:val="20"/>
        <w:framePr w:w="9610" w:h="12935" w:hRule="exact" w:wrap="none" w:vAnchor="page" w:hAnchor="page" w:x="1212" w:y="890"/>
        <w:numPr>
          <w:ilvl w:val="0"/>
          <w:numId w:val="1"/>
        </w:numPr>
        <w:shd w:val="clear" w:color="auto" w:fill="auto"/>
        <w:tabs>
          <w:tab w:val="left" w:pos="447"/>
        </w:tabs>
        <w:spacing w:line="322" w:lineRule="exact"/>
      </w:pPr>
      <w:r>
        <w:t>Решение опубликовать в газете «Трудовая слава».</w:t>
      </w:r>
    </w:p>
    <w:p w:rsidR="003D5361" w:rsidRDefault="0066145D">
      <w:pPr>
        <w:pStyle w:val="20"/>
        <w:framePr w:w="9610" w:h="1328" w:hRule="exact" w:wrap="none" w:vAnchor="page" w:hAnchor="page" w:x="1212" w:y="14416"/>
        <w:shd w:val="clear" w:color="auto" w:fill="auto"/>
        <w:spacing w:line="317" w:lineRule="exact"/>
        <w:ind w:right="5060"/>
        <w:jc w:val="left"/>
      </w:pPr>
      <w:r>
        <w:t>Г</w:t>
      </w:r>
      <w:bookmarkStart w:id="4" w:name="_GoBack"/>
      <w:bookmarkEnd w:id="4"/>
      <w:r>
        <w:t>лава муниципального образования Ганьковское сельское поселение Тихвинского муниципального района</w:t>
      </w:r>
    </w:p>
    <w:p w:rsidR="003D5361" w:rsidRDefault="0066145D">
      <w:pPr>
        <w:pStyle w:val="20"/>
        <w:framePr w:w="9610" w:h="1328" w:hRule="exact" w:wrap="none" w:vAnchor="page" w:hAnchor="page" w:x="1212" w:y="14416"/>
        <w:shd w:val="clear" w:color="auto" w:fill="auto"/>
        <w:tabs>
          <w:tab w:val="left" w:pos="7618"/>
        </w:tabs>
        <w:spacing w:line="317" w:lineRule="exact"/>
      </w:pPr>
      <w:r>
        <w:t>Ленинградской области</w:t>
      </w:r>
      <w:r>
        <w:tab/>
        <w:t>А.П.Цветков</w:t>
      </w:r>
    </w:p>
    <w:p w:rsidR="003D5361" w:rsidRDefault="003D5361">
      <w:pPr>
        <w:rPr>
          <w:sz w:val="2"/>
          <w:szCs w:val="2"/>
        </w:rPr>
      </w:pPr>
    </w:p>
    <w:sectPr w:rsidR="003D536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E9E" w:rsidRDefault="00952E9E">
      <w:r>
        <w:separator/>
      </w:r>
    </w:p>
  </w:endnote>
  <w:endnote w:type="continuationSeparator" w:id="0">
    <w:p w:rsidR="00952E9E" w:rsidRDefault="0095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E9E" w:rsidRDefault="00952E9E"/>
  </w:footnote>
  <w:footnote w:type="continuationSeparator" w:id="0">
    <w:p w:rsidR="00952E9E" w:rsidRDefault="00952E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B6602"/>
    <w:multiLevelType w:val="multilevel"/>
    <w:tmpl w:val="72FA5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B32253"/>
    <w:multiLevelType w:val="multilevel"/>
    <w:tmpl w:val="F6162E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61"/>
    <w:rsid w:val="002D18FC"/>
    <w:rsid w:val="003D5361"/>
    <w:rsid w:val="00466923"/>
    <w:rsid w:val="0066145D"/>
    <w:rsid w:val="0095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E24C8"/>
  <w15:docId w15:val="{606F3E41-7518-45D7-8FDE-719442F1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4pt">
    <w:name w:val="Основной текст (3) + Интервал 4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20"/>
      <w:sz w:val="12"/>
      <w:szCs w:val="12"/>
      <w:u w:val="none"/>
    </w:rPr>
  </w:style>
  <w:style w:type="character" w:customStyle="1" w:styleId="4TimesNewRoman75pt0pt">
    <w:name w:val="Основной текст (4) + Times New Roman;7;5 pt;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MSReferenceSansSerif10pt">
    <w:name w:val="Основной текст (2) + MS Reference Sans Serif;10 pt"/>
    <w:basedOn w:val="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MSReferenceSansSerif10pt0">
    <w:name w:val="Основной текст (2) + MS Reference Sans Serif;10 pt"/>
    <w:basedOn w:val="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0" w:lineRule="atLeast"/>
    </w:pPr>
    <w:rPr>
      <w:rFonts w:ascii="MS Reference Sans Serif" w:eastAsia="MS Reference Sans Serif" w:hAnsi="MS Reference Sans Serif" w:cs="MS Reference Sans Serif"/>
      <w:spacing w:val="-20"/>
      <w:sz w:val="12"/>
      <w:szCs w:val="1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643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spec</cp:lastModifiedBy>
  <cp:revision>4</cp:revision>
  <dcterms:created xsi:type="dcterms:W3CDTF">2025-01-31T12:55:00Z</dcterms:created>
  <dcterms:modified xsi:type="dcterms:W3CDTF">2025-01-31T12:57:00Z</dcterms:modified>
</cp:coreProperties>
</file>