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7CDD" w:rsidRPr="00FA7CDD" w:rsidRDefault="00FA7CDD" w:rsidP="00FA7CD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CDD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:rsidR="00FA7CDD" w:rsidRPr="00FA7CDD" w:rsidRDefault="00FA7CDD" w:rsidP="00FA7CD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CDD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</w:p>
    <w:p w:rsidR="00FA7CDD" w:rsidRPr="00FA7CDD" w:rsidRDefault="00FA7CDD" w:rsidP="00FA7CD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CDD">
        <w:rPr>
          <w:rFonts w:ascii="Times New Roman" w:hAnsi="Times New Roman"/>
          <w:b/>
          <w:bCs/>
          <w:sz w:val="24"/>
          <w:szCs w:val="24"/>
        </w:rPr>
        <w:t>ГАНЬКОВСКОЕ СЕЛЬСКОЕ ПОСЕЛЕНИЕ</w:t>
      </w:r>
    </w:p>
    <w:p w:rsidR="00FA7CDD" w:rsidRPr="00FA7CDD" w:rsidRDefault="00FA7CDD" w:rsidP="00FA7CD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CDD">
        <w:rPr>
          <w:rFonts w:ascii="Times New Roman" w:hAnsi="Times New Roman"/>
          <w:b/>
          <w:bCs/>
          <w:sz w:val="24"/>
          <w:szCs w:val="24"/>
        </w:rPr>
        <w:t>ТИХВИНСКОГО МУНИЦИПАЛЬНОГО РАЙОНА</w:t>
      </w:r>
    </w:p>
    <w:p w:rsidR="00FA7CDD" w:rsidRPr="00FA7CDD" w:rsidRDefault="00FA7CDD" w:rsidP="00FA7CD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CDD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:rsidR="00FA7CDD" w:rsidRPr="00FA7CDD" w:rsidRDefault="00FA7CDD" w:rsidP="00FA7CD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CDD">
        <w:rPr>
          <w:rFonts w:ascii="Times New Roman" w:hAnsi="Times New Roman"/>
          <w:b/>
          <w:bCs/>
          <w:sz w:val="24"/>
          <w:szCs w:val="24"/>
        </w:rPr>
        <w:t>(СОВЕТ ДЕПУТАТОВ ГАНЬКОВСКОГО СЕЛЬСКОГО ПОСЕЛЕНИЯ)</w:t>
      </w:r>
    </w:p>
    <w:p w:rsidR="00FA7CDD" w:rsidRPr="00FA7CDD" w:rsidRDefault="00FA7CDD" w:rsidP="00FA7CDD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A7CDD" w:rsidRPr="00FA7CDD" w:rsidRDefault="00FA7CDD" w:rsidP="00FA7CDD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A7CDD" w:rsidRPr="00FA7CDD" w:rsidRDefault="00FA7CDD" w:rsidP="00FA7CD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CDD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FA7CDD" w:rsidRDefault="00FA7CDD" w:rsidP="00FA7CD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A7CDD" w:rsidRPr="00FA7CDD" w:rsidRDefault="00FA7CDD" w:rsidP="00FA7CD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A7CDD" w:rsidRPr="00FA7CDD" w:rsidRDefault="00FA7CDD" w:rsidP="00FA7CDD">
      <w:pPr>
        <w:pStyle w:val="aa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 xml:space="preserve">от </w:t>
      </w:r>
      <w:r w:rsidR="008A310A">
        <w:rPr>
          <w:rFonts w:ascii="Times New Roman" w:hAnsi="Times New Roman"/>
          <w:sz w:val="24"/>
          <w:szCs w:val="24"/>
        </w:rPr>
        <w:t>18 июня</w:t>
      </w:r>
      <w:r w:rsidRPr="00FA7CDD">
        <w:rPr>
          <w:rFonts w:ascii="Times New Roman" w:hAnsi="Times New Roman"/>
          <w:sz w:val="24"/>
          <w:szCs w:val="24"/>
        </w:rPr>
        <w:t xml:space="preserve"> 202</w:t>
      </w:r>
      <w:r w:rsidR="00325924" w:rsidRPr="00F70903">
        <w:rPr>
          <w:rFonts w:ascii="Times New Roman" w:hAnsi="Times New Roman"/>
          <w:sz w:val="24"/>
          <w:szCs w:val="24"/>
        </w:rPr>
        <w:t>4</w:t>
      </w:r>
      <w:r w:rsidRPr="00FA7CDD">
        <w:rPr>
          <w:rFonts w:ascii="Times New Roman" w:hAnsi="Times New Roman"/>
          <w:sz w:val="24"/>
          <w:szCs w:val="24"/>
        </w:rPr>
        <w:t xml:space="preserve"> года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8A310A">
        <w:rPr>
          <w:rFonts w:ascii="Times New Roman" w:hAnsi="Times New Roman"/>
          <w:sz w:val="24"/>
          <w:szCs w:val="24"/>
        </w:rPr>
        <w:t xml:space="preserve">       </w:t>
      </w:r>
      <w:r w:rsidRPr="00FA7CD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04-</w:t>
      </w:r>
      <w:r w:rsidR="008A310A">
        <w:rPr>
          <w:rFonts w:ascii="Times New Roman" w:hAnsi="Times New Roman"/>
          <w:sz w:val="24"/>
          <w:szCs w:val="24"/>
        </w:rPr>
        <w:t>197</w:t>
      </w:r>
    </w:p>
    <w:p w:rsidR="00FA7CDD" w:rsidRPr="00FA7CDD" w:rsidRDefault="00FA7CD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FA7CDD" w:rsidRPr="00FA7CDD" w:rsidRDefault="00FA7CD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FA7CDD" w:rsidRPr="00FA7CDD" w:rsidRDefault="00FA7CDD" w:rsidP="004E509B">
      <w:pPr>
        <w:pStyle w:val="aa"/>
        <w:ind w:right="4818"/>
        <w:rPr>
          <w:rFonts w:ascii="Times New Roman" w:hAnsi="Times New Roman"/>
          <w:sz w:val="24"/>
          <w:szCs w:val="24"/>
        </w:rPr>
      </w:pPr>
      <w:bookmarkStart w:id="0" w:name="_Hlk168650430"/>
      <w:r w:rsidRPr="00FA7CDD">
        <w:rPr>
          <w:rFonts w:ascii="Times New Roman" w:hAnsi="Times New Roman"/>
          <w:sz w:val="24"/>
          <w:szCs w:val="24"/>
        </w:rPr>
        <w:t>Об утверждении отч</w:t>
      </w:r>
      <w:r>
        <w:rPr>
          <w:rFonts w:ascii="Times New Roman" w:hAnsi="Times New Roman"/>
          <w:sz w:val="24"/>
          <w:szCs w:val="24"/>
        </w:rPr>
        <w:t>ё</w:t>
      </w:r>
      <w:r w:rsidRPr="00FA7CDD">
        <w:rPr>
          <w:rFonts w:ascii="Times New Roman" w:hAnsi="Times New Roman"/>
          <w:sz w:val="24"/>
          <w:szCs w:val="24"/>
        </w:rPr>
        <w:t>та о результатах</w:t>
      </w:r>
      <w:r w:rsidR="004E509B" w:rsidRPr="004E509B">
        <w:rPr>
          <w:rFonts w:ascii="Times New Roman" w:hAnsi="Times New Roman"/>
          <w:sz w:val="24"/>
          <w:szCs w:val="24"/>
        </w:rPr>
        <w:t xml:space="preserve"> </w:t>
      </w:r>
      <w:r w:rsidRPr="00FA7CDD">
        <w:rPr>
          <w:rFonts w:ascii="Times New Roman" w:hAnsi="Times New Roman"/>
          <w:sz w:val="24"/>
          <w:szCs w:val="24"/>
        </w:rPr>
        <w:t xml:space="preserve">деятельности контрольно-счетной группы </w:t>
      </w:r>
    </w:p>
    <w:p w:rsidR="00FA7CDD" w:rsidRPr="00FA7CDD" w:rsidRDefault="00FA7CDD" w:rsidP="004E509B">
      <w:pPr>
        <w:pStyle w:val="aa"/>
        <w:ind w:right="4818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>муниципального образования</w:t>
      </w:r>
      <w:r w:rsidR="004E509B" w:rsidRPr="004E509B">
        <w:rPr>
          <w:rFonts w:ascii="Times New Roman" w:hAnsi="Times New Roman"/>
          <w:sz w:val="24"/>
          <w:szCs w:val="24"/>
        </w:rPr>
        <w:t xml:space="preserve"> </w:t>
      </w:r>
      <w:r w:rsidRPr="00FA7CDD">
        <w:rPr>
          <w:rFonts w:ascii="Times New Roman" w:hAnsi="Times New Roman"/>
          <w:sz w:val="24"/>
          <w:szCs w:val="24"/>
        </w:rPr>
        <w:t>Ганьковское сельское поселение</w:t>
      </w:r>
      <w:r w:rsidR="004E509B" w:rsidRPr="004E509B">
        <w:rPr>
          <w:rFonts w:ascii="Times New Roman" w:hAnsi="Times New Roman"/>
          <w:sz w:val="24"/>
          <w:szCs w:val="24"/>
        </w:rPr>
        <w:t xml:space="preserve"> </w:t>
      </w:r>
      <w:r w:rsidRPr="00FA7CDD">
        <w:rPr>
          <w:rFonts w:ascii="Times New Roman" w:hAnsi="Times New Roman"/>
          <w:sz w:val="24"/>
          <w:szCs w:val="24"/>
        </w:rPr>
        <w:t>Тихвинского</w:t>
      </w:r>
      <w:r w:rsidR="004E509B">
        <w:rPr>
          <w:rFonts w:ascii="Times New Roman" w:hAnsi="Times New Roman"/>
          <w:sz w:val="24"/>
          <w:szCs w:val="24"/>
        </w:rPr>
        <w:t xml:space="preserve"> </w:t>
      </w:r>
      <w:r w:rsidRPr="00FA7CDD">
        <w:rPr>
          <w:rFonts w:ascii="Times New Roman" w:hAnsi="Times New Roman"/>
          <w:sz w:val="24"/>
          <w:szCs w:val="24"/>
        </w:rPr>
        <w:t>муниципального района</w:t>
      </w:r>
      <w:r w:rsidR="004E509B" w:rsidRPr="004E509B">
        <w:rPr>
          <w:rFonts w:ascii="Times New Roman" w:hAnsi="Times New Roman"/>
          <w:sz w:val="24"/>
          <w:szCs w:val="24"/>
        </w:rPr>
        <w:t xml:space="preserve"> </w:t>
      </w:r>
      <w:r w:rsidRPr="00FA7CDD">
        <w:rPr>
          <w:rFonts w:ascii="Times New Roman" w:hAnsi="Times New Roman"/>
          <w:sz w:val="24"/>
          <w:szCs w:val="24"/>
        </w:rPr>
        <w:t>Ленинградской области</w:t>
      </w:r>
    </w:p>
    <w:bookmarkEnd w:id="0"/>
    <w:p w:rsidR="00FA7CDD" w:rsidRPr="00FA7CDD" w:rsidRDefault="00FA7CDD" w:rsidP="004E509B">
      <w:pPr>
        <w:pStyle w:val="aa"/>
        <w:rPr>
          <w:rFonts w:ascii="Times New Roman" w:hAnsi="Times New Roman"/>
          <w:sz w:val="24"/>
          <w:szCs w:val="24"/>
        </w:rPr>
      </w:pPr>
    </w:p>
    <w:p w:rsidR="00FA7CDD" w:rsidRPr="00FA7CDD" w:rsidRDefault="00FA7CD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FA7CDD" w:rsidRPr="00FA7CDD" w:rsidRDefault="00FA7CDD" w:rsidP="00FA7CDD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>В соответствии с Положением о контрольно-счетной группе Ганьковского сельского поселения, совет депутатов муниципального образования Ганьковское сельское поселение Тихвинского муниципального района Ленинградской области РЕШИЛ:</w:t>
      </w:r>
    </w:p>
    <w:p w:rsidR="00FA7CDD" w:rsidRPr="00FA7CDD" w:rsidRDefault="00FA7CDD" w:rsidP="00FA7CDD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CDD">
        <w:rPr>
          <w:rFonts w:ascii="Times New Roman" w:hAnsi="Times New Roman"/>
          <w:sz w:val="24"/>
          <w:szCs w:val="24"/>
        </w:rPr>
        <w:t>Утвердить отч</w:t>
      </w:r>
      <w:r>
        <w:rPr>
          <w:rFonts w:ascii="Times New Roman" w:hAnsi="Times New Roman"/>
          <w:sz w:val="24"/>
          <w:szCs w:val="24"/>
        </w:rPr>
        <w:t>ё</w:t>
      </w:r>
      <w:r w:rsidRPr="00FA7CDD">
        <w:rPr>
          <w:rFonts w:ascii="Times New Roman" w:hAnsi="Times New Roman"/>
          <w:sz w:val="24"/>
          <w:szCs w:val="24"/>
        </w:rPr>
        <w:t>т о результатах деятельности контрольно-счетной группы муниципального образования Ганьковское сельское поселение Тихвинского муниципального района Ленинградской области за 202</w:t>
      </w:r>
      <w:r w:rsidR="00325924" w:rsidRPr="00325924">
        <w:rPr>
          <w:rFonts w:ascii="Times New Roman" w:hAnsi="Times New Roman"/>
          <w:sz w:val="24"/>
          <w:szCs w:val="24"/>
        </w:rPr>
        <w:t>3</w:t>
      </w:r>
      <w:r w:rsidRPr="00FA7CDD">
        <w:rPr>
          <w:rFonts w:ascii="Times New Roman" w:hAnsi="Times New Roman"/>
          <w:sz w:val="24"/>
          <w:szCs w:val="24"/>
        </w:rPr>
        <w:t xml:space="preserve"> год (приложение).</w:t>
      </w:r>
    </w:p>
    <w:p w:rsidR="00FA7CDD" w:rsidRPr="00FA7CDD" w:rsidRDefault="00FA7CDD" w:rsidP="00FA7CDD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CDD">
        <w:rPr>
          <w:rFonts w:ascii="Times New Roman" w:hAnsi="Times New Roman"/>
          <w:sz w:val="24"/>
          <w:szCs w:val="24"/>
        </w:rPr>
        <w:t>Опубликовать информацию о принятии настоящего решения в официальном печатном издании и обнародовать пут</w:t>
      </w:r>
      <w:r>
        <w:rPr>
          <w:rFonts w:ascii="Times New Roman" w:hAnsi="Times New Roman"/>
          <w:sz w:val="24"/>
          <w:szCs w:val="24"/>
        </w:rPr>
        <w:t>ё</w:t>
      </w:r>
      <w:r w:rsidRPr="00FA7CDD">
        <w:rPr>
          <w:rFonts w:ascii="Times New Roman" w:hAnsi="Times New Roman"/>
          <w:sz w:val="24"/>
          <w:szCs w:val="24"/>
        </w:rPr>
        <w:t xml:space="preserve">м размещения на официальном сайте Ганьковского сельского поселения в сети Интернет. </w:t>
      </w:r>
    </w:p>
    <w:p w:rsidR="00FA7CDD" w:rsidRPr="00FA7CDD" w:rsidRDefault="00FA7CD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FA7CDD" w:rsidRPr="00FA7CDD" w:rsidRDefault="00FA7CD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FA7CDD" w:rsidRPr="00FA7CDD" w:rsidRDefault="00FA7CDD" w:rsidP="00FA7CDD">
      <w:pPr>
        <w:pStyle w:val="aa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FA7CDD" w:rsidRPr="00FA7CDD" w:rsidRDefault="00FA7CDD" w:rsidP="00FA7CDD">
      <w:pPr>
        <w:pStyle w:val="aa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>Ганьковское сельское поселение</w:t>
      </w:r>
    </w:p>
    <w:p w:rsidR="00FA7CDD" w:rsidRPr="00FA7CDD" w:rsidRDefault="00FA7CDD" w:rsidP="00FA7CDD">
      <w:pPr>
        <w:pStyle w:val="aa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>Тихвинского муниципального района</w:t>
      </w:r>
    </w:p>
    <w:p w:rsidR="00FA7CDD" w:rsidRPr="00FA7CDD" w:rsidRDefault="00FA7CDD" w:rsidP="00FA7CDD">
      <w:pPr>
        <w:pStyle w:val="aa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 xml:space="preserve">Ленинградской области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A7CDD">
        <w:rPr>
          <w:rFonts w:ascii="Times New Roman" w:hAnsi="Times New Roman"/>
          <w:sz w:val="24"/>
          <w:szCs w:val="24"/>
        </w:rPr>
        <w:t>Е.С. Епифанова</w:t>
      </w:r>
    </w:p>
    <w:p w:rsidR="00FA7CDD" w:rsidRDefault="00FA7CDD" w:rsidP="00924425">
      <w:pPr>
        <w:pStyle w:val="aa"/>
        <w:rPr>
          <w:rFonts w:ascii="Times New Roman" w:hAnsi="Times New Roman"/>
          <w:sz w:val="24"/>
          <w:szCs w:val="24"/>
        </w:rPr>
      </w:pPr>
    </w:p>
    <w:p w:rsidR="00FA7CDD" w:rsidRDefault="00FA7CDD" w:rsidP="00924425">
      <w:pPr>
        <w:pStyle w:val="aa"/>
        <w:rPr>
          <w:rFonts w:ascii="Times New Roman" w:hAnsi="Times New Roman"/>
          <w:sz w:val="24"/>
          <w:szCs w:val="24"/>
        </w:rPr>
      </w:pPr>
    </w:p>
    <w:p w:rsidR="00FA7CDD" w:rsidRDefault="00FA7CDD" w:rsidP="00924425">
      <w:pPr>
        <w:pStyle w:val="aa"/>
        <w:rPr>
          <w:rFonts w:ascii="Times New Roman" w:hAnsi="Times New Roman"/>
          <w:sz w:val="24"/>
          <w:szCs w:val="24"/>
        </w:rPr>
      </w:pPr>
    </w:p>
    <w:p w:rsidR="00FA7CDD" w:rsidRDefault="00FA7CDD" w:rsidP="00924425">
      <w:pPr>
        <w:pStyle w:val="aa"/>
        <w:rPr>
          <w:rFonts w:ascii="Times New Roman" w:hAnsi="Times New Roman"/>
          <w:sz w:val="24"/>
          <w:szCs w:val="24"/>
        </w:rPr>
      </w:pPr>
    </w:p>
    <w:p w:rsidR="00FA7CDD" w:rsidRDefault="00FA7CDD" w:rsidP="00924425">
      <w:pPr>
        <w:pStyle w:val="aa"/>
        <w:rPr>
          <w:rFonts w:ascii="Times New Roman" w:hAnsi="Times New Roman"/>
          <w:sz w:val="24"/>
          <w:szCs w:val="24"/>
        </w:rPr>
      </w:pPr>
    </w:p>
    <w:p w:rsidR="00FA7CDD" w:rsidRDefault="00FA7CDD" w:rsidP="00924425">
      <w:pPr>
        <w:pStyle w:val="aa"/>
        <w:rPr>
          <w:rFonts w:ascii="Times New Roman" w:hAnsi="Times New Roman"/>
          <w:sz w:val="24"/>
          <w:szCs w:val="24"/>
        </w:rPr>
      </w:pPr>
    </w:p>
    <w:p w:rsidR="00FA7CDD" w:rsidRDefault="00FA7CDD" w:rsidP="00924425">
      <w:pPr>
        <w:pStyle w:val="aa"/>
        <w:rPr>
          <w:rFonts w:ascii="Times New Roman" w:hAnsi="Times New Roman"/>
          <w:sz w:val="24"/>
          <w:szCs w:val="24"/>
        </w:rPr>
      </w:pPr>
    </w:p>
    <w:p w:rsidR="00FA7CDD" w:rsidRDefault="00FA7CDD" w:rsidP="00924425">
      <w:pPr>
        <w:pStyle w:val="aa"/>
        <w:rPr>
          <w:rFonts w:ascii="Times New Roman" w:hAnsi="Times New Roman"/>
          <w:sz w:val="24"/>
          <w:szCs w:val="24"/>
        </w:rPr>
      </w:pPr>
    </w:p>
    <w:p w:rsidR="00FA7CDD" w:rsidRDefault="00FA7CDD" w:rsidP="00924425">
      <w:pPr>
        <w:pStyle w:val="aa"/>
        <w:rPr>
          <w:rFonts w:ascii="Times New Roman" w:hAnsi="Times New Roman"/>
          <w:sz w:val="24"/>
          <w:szCs w:val="24"/>
        </w:rPr>
      </w:pPr>
    </w:p>
    <w:p w:rsidR="00FA7CDD" w:rsidRDefault="00FA7CDD" w:rsidP="00924425">
      <w:pPr>
        <w:pStyle w:val="aa"/>
        <w:rPr>
          <w:rFonts w:ascii="Times New Roman" w:hAnsi="Times New Roman"/>
          <w:sz w:val="24"/>
          <w:szCs w:val="24"/>
        </w:rPr>
      </w:pPr>
    </w:p>
    <w:p w:rsidR="00FA7CDD" w:rsidRDefault="00FA7CDD" w:rsidP="00924425">
      <w:pPr>
        <w:pStyle w:val="aa"/>
        <w:rPr>
          <w:rFonts w:ascii="Times New Roman" w:hAnsi="Times New Roman"/>
          <w:sz w:val="24"/>
          <w:szCs w:val="24"/>
        </w:rPr>
      </w:pPr>
    </w:p>
    <w:p w:rsidR="00FA7CDD" w:rsidRDefault="00FA7CDD" w:rsidP="00924425">
      <w:pPr>
        <w:pStyle w:val="aa"/>
        <w:rPr>
          <w:rFonts w:ascii="Times New Roman" w:hAnsi="Times New Roman"/>
          <w:sz w:val="24"/>
          <w:szCs w:val="24"/>
        </w:rPr>
      </w:pPr>
    </w:p>
    <w:p w:rsidR="00FA7CDD" w:rsidRDefault="00FA7CDD" w:rsidP="00924425">
      <w:pPr>
        <w:pStyle w:val="aa"/>
        <w:rPr>
          <w:rFonts w:ascii="Times New Roman" w:hAnsi="Times New Roman"/>
          <w:sz w:val="24"/>
          <w:szCs w:val="24"/>
        </w:rPr>
      </w:pPr>
    </w:p>
    <w:p w:rsidR="004E509B" w:rsidRDefault="004E509B" w:rsidP="00FA7CDD">
      <w:pPr>
        <w:pStyle w:val="aa"/>
        <w:ind w:firstLine="5670"/>
        <w:rPr>
          <w:rFonts w:ascii="Times New Roman" w:hAnsi="Times New Roman"/>
          <w:sz w:val="24"/>
          <w:szCs w:val="24"/>
          <w:lang w:val="en-US"/>
        </w:rPr>
      </w:pPr>
    </w:p>
    <w:p w:rsidR="004E509B" w:rsidRDefault="004E509B" w:rsidP="00FA7CDD">
      <w:pPr>
        <w:pStyle w:val="aa"/>
        <w:ind w:firstLine="5670"/>
        <w:rPr>
          <w:rFonts w:ascii="Times New Roman" w:hAnsi="Times New Roman"/>
          <w:sz w:val="24"/>
          <w:szCs w:val="24"/>
          <w:lang w:val="en-US"/>
        </w:rPr>
      </w:pPr>
    </w:p>
    <w:p w:rsidR="009C535D" w:rsidRPr="004E509B" w:rsidRDefault="009C535D" w:rsidP="00FA7CDD">
      <w:pPr>
        <w:pStyle w:val="aa"/>
        <w:ind w:firstLine="5670"/>
        <w:rPr>
          <w:rFonts w:ascii="Times New Roman" w:hAnsi="Times New Roman"/>
          <w:sz w:val="24"/>
          <w:szCs w:val="24"/>
          <w:lang w:val="en-US"/>
        </w:rPr>
      </w:pPr>
      <w:r w:rsidRPr="00FA7CDD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C535D" w:rsidRPr="00FA7CDD" w:rsidRDefault="00C826C7" w:rsidP="00FA7CDD">
      <w:pPr>
        <w:pStyle w:val="aa"/>
        <w:ind w:firstLine="5670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>р</w:t>
      </w:r>
      <w:r w:rsidR="009C535D" w:rsidRPr="00FA7CDD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9C535D" w:rsidRPr="00FA7CDD" w:rsidRDefault="009C535D" w:rsidP="00FA7CDD">
      <w:pPr>
        <w:pStyle w:val="aa"/>
        <w:ind w:firstLine="5670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>Ганьковско</w:t>
      </w:r>
      <w:r w:rsidR="006558E2" w:rsidRPr="00FA7CDD">
        <w:rPr>
          <w:rFonts w:ascii="Times New Roman" w:hAnsi="Times New Roman"/>
          <w:sz w:val="24"/>
          <w:szCs w:val="24"/>
        </w:rPr>
        <w:t>го</w:t>
      </w:r>
      <w:r w:rsidRPr="00FA7CDD">
        <w:rPr>
          <w:rFonts w:ascii="Times New Roman" w:hAnsi="Times New Roman"/>
          <w:sz w:val="24"/>
          <w:szCs w:val="24"/>
        </w:rPr>
        <w:t xml:space="preserve"> сельско</w:t>
      </w:r>
      <w:r w:rsidR="006558E2" w:rsidRPr="00FA7CDD">
        <w:rPr>
          <w:rFonts w:ascii="Times New Roman" w:hAnsi="Times New Roman"/>
          <w:sz w:val="24"/>
          <w:szCs w:val="24"/>
        </w:rPr>
        <w:t>го</w:t>
      </w:r>
      <w:r w:rsidRPr="00FA7CDD">
        <w:rPr>
          <w:rFonts w:ascii="Times New Roman" w:hAnsi="Times New Roman"/>
          <w:sz w:val="24"/>
          <w:szCs w:val="24"/>
        </w:rPr>
        <w:t xml:space="preserve"> поселени</w:t>
      </w:r>
      <w:r w:rsidR="006558E2" w:rsidRPr="00FA7CDD">
        <w:rPr>
          <w:rFonts w:ascii="Times New Roman" w:hAnsi="Times New Roman"/>
          <w:sz w:val="24"/>
          <w:szCs w:val="24"/>
        </w:rPr>
        <w:t>я</w:t>
      </w:r>
    </w:p>
    <w:p w:rsidR="00FA7CDD" w:rsidRPr="004E509B" w:rsidRDefault="00376DBB" w:rsidP="00FA7CDD">
      <w:pPr>
        <w:pStyle w:val="aa"/>
        <w:ind w:firstLine="5670"/>
        <w:rPr>
          <w:rFonts w:ascii="Times New Roman" w:hAnsi="Times New Roman"/>
          <w:sz w:val="24"/>
          <w:szCs w:val="24"/>
          <w:lang w:val="en-US"/>
        </w:rPr>
      </w:pPr>
      <w:r w:rsidRPr="00FA7CDD">
        <w:rPr>
          <w:rFonts w:ascii="Times New Roman" w:hAnsi="Times New Roman"/>
          <w:sz w:val="24"/>
          <w:szCs w:val="24"/>
        </w:rPr>
        <w:t>о</w:t>
      </w:r>
      <w:r w:rsidR="00011DBA" w:rsidRPr="00FA7CDD">
        <w:rPr>
          <w:rFonts w:ascii="Times New Roman" w:hAnsi="Times New Roman"/>
          <w:sz w:val="24"/>
          <w:szCs w:val="24"/>
        </w:rPr>
        <w:t>т</w:t>
      </w:r>
      <w:r w:rsidRPr="00FA7CDD">
        <w:rPr>
          <w:rFonts w:ascii="Times New Roman" w:hAnsi="Times New Roman"/>
          <w:sz w:val="24"/>
          <w:szCs w:val="24"/>
        </w:rPr>
        <w:t xml:space="preserve"> </w:t>
      </w:r>
      <w:r w:rsidR="004E509B">
        <w:rPr>
          <w:rFonts w:ascii="Times New Roman" w:hAnsi="Times New Roman"/>
          <w:sz w:val="24"/>
          <w:szCs w:val="24"/>
          <w:lang w:val="en-US"/>
        </w:rPr>
        <w:t>18</w:t>
      </w:r>
      <w:r w:rsidRPr="00FA7CDD">
        <w:rPr>
          <w:rFonts w:ascii="Times New Roman" w:hAnsi="Times New Roman"/>
          <w:sz w:val="24"/>
          <w:szCs w:val="24"/>
        </w:rPr>
        <w:t xml:space="preserve"> </w:t>
      </w:r>
      <w:r w:rsidR="00FA7CDD">
        <w:rPr>
          <w:rFonts w:ascii="Times New Roman" w:hAnsi="Times New Roman"/>
          <w:sz w:val="24"/>
          <w:szCs w:val="24"/>
        </w:rPr>
        <w:t>июня 202</w:t>
      </w:r>
      <w:r w:rsidR="00325924" w:rsidRPr="00F70903">
        <w:rPr>
          <w:rFonts w:ascii="Times New Roman" w:hAnsi="Times New Roman"/>
          <w:sz w:val="24"/>
          <w:szCs w:val="24"/>
        </w:rPr>
        <w:t>4</w:t>
      </w:r>
      <w:r w:rsidR="00FA7CDD">
        <w:rPr>
          <w:rFonts w:ascii="Times New Roman" w:hAnsi="Times New Roman"/>
          <w:sz w:val="24"/>
          <w:szCs w:val="24"/>
        </w:rPr>
        <w:t xml:space="preserve"> года</w:t>
      </w:r>
      <w:r w:rsidR="00011DBA" w:rsidRPr="00FA7CDD">
        <w:rPr>
          <w:rFonts w:ascii="Times New Roman" w:hAnsi="Times New Roman"/>
          <w:sz w:val="24"/>
          <w:szCs w:val="24"/>
        </w:rPr>
        <w:t xml:space="preserve"> № </w:t>
      </w:r>
      <w:r w:rsidR="00FA7CDD">
        <w:rPr>
          <w:rFonts w:ascii="Times New Roman" w:hAnsi="Times New Roman"/>
          <w:sz w:val="24"/>
          <w:szCs w:val="24"/>
        </w:rPr>
        <w:t>04-</w:t>
      </w:r>
      <w:r w:rsidR="004E509B">
        <w:rPr>
          <w:rFonts w:ascii="Times New Roman" w:hAnsi="Times New Roman"/>
          <w:sz w:val="24"/>
          <w:szCs w:val="24"/>
          <w:lang w:val="en-US"/>
        </w:rPr>
        <w:t>197</w:t>
      </w:r>
    </w:p>
    <w:p w:rsidR="009C535D" w:rsidRPr="00FA7CDD" w:rsidRDefault="000C1589" w:rsidP="004E509B">
      <w:pPr>
        <w:pStyle w:val="aa"/>
        <w:ind w:firstLine="5670"/>
        <w:jc w:val="center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>(</w:t>
      </w:r>
      <w:r w:rsidR="004E509B">
        <w:rPr>
          <w:rFonts w:ascii="Times New Roman" w:hAnsi="Times New Roman"/>
          <w:sz w:val="24"/>
          <w:szCs w:val="24"/>
        </w:rPr>
        <w:t>п</w:t>
      </w:r>
      <w:r w:rsidRPr="00FA7CDD">
        <w:rPr>
          <w:rFonts w:ascii="Times New Roman" w:hAnsi="Times New Roman"/>
          <w:sz w:val="24"/>
          <w:szCs w:val="24"/>
        </w:rPr>
        <w:t>риложение)</w:t>
      </w:r>
    </w:p>
    <w:p w:rsidR="004D237F" w:rsidRDefault="004D237F" w:rsidP="00924425">
      <w:pPr>
        <w:pStyle w:val="aa"/>
        <w:rPr>
          <w:rFonts w:ascii="Times New Roman" w:hAnsi="Times New Roman"/>
          <w:sz w:val="28"/>
          <w:szCs w:val="28"/>
        </w:rPr>
      </w:pPr>
    </w:p>
    <w:p w:rsidR="00BA5CF7" w:rsidRPr="004D237F" w:rsidRDefault="00C826C7" w:rsidP="004D237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D237F">
        <w:rPr>
          <w:rFonts w:ascii="Times New Roman" w:hAnsi="Times New Roman"/>
          <w:sz w:val="24"/>
          <w:szCs w:val="24"/>
        </w:rPr>
        <w:t>Отч</w:t>
      </w:r>
      <w:r w:rsidR="004D237F">
        <w:rPr>
          <w:rFonts w:ascii="Times New Roman" w:hAnsi="Times New Roman"/>
          <w:sz w:val="24"/>
          <w:szCs w:val="24"/>
        </w:rPr>
        <w:t>ё</w:t>
      </w:r>
      <w:r w:rsidRPr="004D237F">
        <w:rPr>
          <w:rFonts w:ascii="Times New Roman" w:hAnsi="Times New Roman"/>
          <w:sz w:val="24"/>
          <w:szCs w:val="24"/>
        </w:rPr>
        <w:t>т</w:t>
      </w:r>
    </w:p>
    <w:p w:rsidR="00130B89" w:rsidRPr="004D237F" w:rsidRDefault="00C826C7" w:rsidP="004D237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D237F">
        <w:rPr>
          <w:rFonts w:ascii="Times New Roman" w:hAnsi="Times New Roman"/>
          <w:sz w:val="24"/>
          <w:szCs w:val="24"/>
        </w:rPr>
        <w:t>о</w:t>
      </w:r>
      <w:r w:rsidR="001A7F42" w:rsidRPr="004D237F">
        <w:rPr>
          <w:rFonts w:ascii="Times New Roman" w:hAnsi="Times New Roman"/>
          <w:sz w:val="24"/>
          <w:szCs w:val="24"/>
        </w:rPr>
        <w:t xml:space="preserve"> результатах деятельности</w:t>
      </w:r>
      <w:r w:rsidR="00477AF1" w:rsidRPr="004D237F">
        <w:rPr>
          <w:rFonts w:ascii="Times New Roman" w:hAnsi="Times New Roman"/>
          <w:sz w:val="24"/>
          <w:szCs w:val="24"/>
        </w:rPr>
        <w:t xml:space="preserve"> контрольно-счетно</w:t>
      </w:r>
      <w:r w:rsidR="00281086" w:rsidRPr="004D237F">
        <w:rPr>
          <w:rFonts w:ascii="Times New Roman" w:hAnsi="Times New Roman"/>
          <w:sz w:val="24"/>
          <w:szCs w:val="24"/>
        </w:rPr>
        <w:t>й</w:t>
      </w:r>
      <w:r w:rsidR="00477AF1" w:rsidRPr="004D237F">
        <w:rPr>
          <w:rFonts w:ascii="Times New Roman" w:hAnsi="Times New Roman"/>
          <w:sz w:val="24"/>
          <w:szCs w:val="24"/>
        </w:rPr>
        <w:t xml:space="preserve"> </w:t>
      </w:r>
      <w:r w:rsidR="00281086" w:rsidRPr="004D237F">
        <w:rPr>
          <w:rFonts w:ascii="Times New Roman" w:hAnsi="Times New Roman"/>
          <w:sz w:val="24"/>
          <w:szCs w:val="24"/>
        </w:rPr>
        <w:t>группы</w:t>
      </w:r>
    </w:p>
    <w:p w:rsidR="00477AF1" w:rsidRPr="004D237F" w:rsidRDefault="00011DBA" w:rsidP="004D237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D237F">
        <w:rPr>
          <w:rFonts w:ascii="Times New Roman" w:hAnsi="Times New Roman"/>
          <w:sz w:val="24"/>
          <w:szCs w:val="24"/>
        </w:rPr>
        <w:t>м</w:t>
      </w:r>
      <w:r w:rsidR="00477AF1" w:rsidRPr="004D237F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r w:rsidR="00532759" w:rsidRPr="004D237F">
        <w:rPr>
          <w:rFonts w:ascii="Times New Roman" w:hAnsi="Times New Roman"/>
          <w:sz w:val="24"/>
          <w:szCs w:val="24"/>
        </w:rPr>
        <w:t>Ганьковско</w:t>
      </w:r>
      <w:r w:rsidR="001A7F42" w:rsidRPr="004D237F">
        <w:rPr>
          <w:rFonts w:ascii="Times New Roman" w:hAnsi="Times New Roman"/>
          <w:sz w:val="24"/>
          <w:szCs w:val="24"/>
        </w:rPr>
        <w:t>е</w:t>
      </w:r>
      <w:r w:rsidR="00477AF1" w:rsidRPr="004D237F">
        <w:rPr>
          <w:rFonts w:ascii="Times New Roman" w:hAnsi="Times New Roman"/>
          <w:sz w:val="24"/>
          <w:szCs w:val="24"/>
        </w:rPr>
        <w:t xml:space="preserve"> сельско</w:t>
      </w:r>
      <w:r w:rsidR="001A7F42" w:rsidRPr="004D237F">
        <w:rPr>
          <w:rFonts w:ascii="Times New Roman" w:hAnsi="Times New Roman"/>
          <w:sz w:val="24"/>
          <w:szCs w:val="24"/>
        </w:rPr>
        <w:t>е</w:t>
      </w:r>
      <w:r w:rsidR="00477AF1" w:rsidRPr="004D237F">
        <w:rPr>
          <w:rFonts w:ascii="Times New Roman" w:hAnsi="Times New Roman"/>
          <w:sz w:val="24"/>
          <w:szCs w:val="24"/>
        </w:rPr>
        <w:t xml:space="preserve"> поселени</w:t>
      </w:r>
      <w:r w:rsidR="001A7F42" w:rsidRPr="004D237F">
        <w:rPr>
          <w:rFonts w:ascii="Times New Roman" w:hAnsi="Times New Roman"/>
          <w:sz w:val="24"/>
          <w:szCs w:val="24"/>
        </w:rPr>
        <w:t>е</w:t>
      </w:r>
    </w:p>
    <w:p w:rsidR="002D538E" w:rsidRPr="002D538E" w:rsidRDefault="00477AF1" w:rsidP="002D538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D237F">
        <w:rPr>
          <w:rFonts w:ascii="Times New Roman" w:hAnsi="Times New Roman"/>
          <w:sz w:val="24"/>
          <w:szCs w:val="24"/>
        </w:rPr>
        <w:t>Тихвинского муниципального района Ленинградской области за 20</w:t>
      </w:r>
      <w:r w:rsidR="00BA5CF7" w:rsidRPr="004D237F">
        <w:rPr>
          <w:rFonts w:ascii="Times New Roman" w:hAnsi="Times New Roman"/>
          <w:sz w:val="24"/>
          <w:szCs w:val="24"/>
        </w:rPr>
        <w:t>2</w:t>
      </w:r>
      <w:r w:rsidR="002D538E" w:rsidRPr="002D538E">
        <w:rPr>
          <w:rFonts w:ascii="Times New Roman" w:hAnsi="Times New Roman"/>
          <w:sz w:val="24"/>
          <w:szCs w:val="24"/>
        </w:rPr>
        <w:t>3</w:t>
      </w:r>
      <w:r w:rsidRPr="004D237F">
        <w:rPr>
          <w:rFonts w:ascii="Times New Roman" w:hAnsi="Times New Roman"/>
          <w:sz w:val="24"/>
          <w:szCs w:val="24"/>
        </w:rPr>
        <w:t xml:space="preserve"> год</w:t>
      </w:r>
    </w:p>
    <w:p w:rsidR="002D538E" w:rsidRPr="002D538E" w:rsidRDefault="002D538E" w:rsidP="002D538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2D538E" w:rsidRPr="002D538E" w:rsidRDefault="002D538E" w:rsidP="002D538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t xml:space="preserve">Ежегодный </w:t>
      </w:r>
      <w:proofErr w:type="spellStart"/>
      <w:r w:rsidRPr="002D538E">
        <w:rPr>
          <w:rFonts w:ascii="Times New Roman" w:hAnsi="Times New Roman"/>
          <w:sz w:val="24"/>
          <w:szCs w:val="24"/>
        </w:rPr>
        <w:t>отчет</w:t>
      </w:r>
      <w:proofErr w:type="spellEnd"/>
      <w:r w:rsidRPr="002D538E">
        <w:rPr>
          <w:rFonts w:ascii="Times New Roman" w:hAnsi="Times New Roman"/>
          <w:sz w:val="24"/>
          <w:szCs w:val="24"/>
        </w:rPr>
        <w:t xml:space="preserve"> о результатах деятельности контрольно-счетной группы, подготовлен в соответствии с требованиями части 2 статьи 19 Федерального закона от 07.02.2011 года №6-ФЗ «Об общих принципах организации и деятельности контрольно-</w:t>
      </w:r>
      <w:proofErr w:type="spellStart"/>
      <w:r w:rsidRPr="002D538E">
        <w:rPr>
          <w:rFonts w:ascii="Times New Roman" w:hAnsi="Times New Roman"/>
          <w:sz w:val="24"/>
          <w:szCs w:val="24"/>
        </w:rPr>
        <w:t>счетных</w:t>
      </w:r>
      <w:proofErr w:type="spellEnd"/>
      <w:r w:rsidRPr="002D538E">
        <w:rPr>
          <w:rFonts w:ascii="Times New Roman" w:hAnsi="Times New Roman"/>
          <w:sz w:val="24"/>
          <w:szCs w:val="24"/>
        </w:rPr>
        <w:t xml:space="preserve"> органов субъектов Российской Федерации и муниципальных образований», Положения о бюджетном процессе утверждённым решением совета депутатов Ганьковского сельского поселения от 23.12.2022 года № 04-148. </w:t>
      </w:r>
    </w:p>
    <w:p w:rsidR="002D538E" w:rsidRPr="002D538E" w:rsidRDefault="002D538E" w:rsidP="002D538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t>Правовое регулирование деятельности контрольно-счетной группы Ганьковское сельское поселение определяется Бюджетным кодексом Российской Федерации, Федеральным законом от 07.02.2013 г. № 6-ФЗ «Об общих принципах организации и деятельности контрольно-</w:t>
      </w:r>
      <w:proofErr w:type="spellStart"/>
      <w:r w:rsidRPr="002D538E">
        <w:rPr>
          <w:rFonts w:ascii="Times New Roman" w:hAnsi="Times New Roman"/>
          <w:sz w:val="24"/>
          <w:szCs w:val="24"/>
        </w:rPr>
        <w:t>счетных</w:t>
      </w:r>
      <w:proofErr w:type="spellEnd"/>
      <w:r w:rsidRPr="002D538E">
        <w:rPr>
          <w:rFonts w:ascii="Times New Roman" w:hAnsi="Times New Roman"/>
          <w:sz w:val="24"/>
          <w:szCs w:val="24"/>
        </w:rPr>
        <w:t xml:space="preserve"> органов субъектов Российской Федерации», другими Федеральными законами и иными нормативно-правовыми актами Российской Федерации.</w:t>
      </w:r>
    </w:p>
    <w:p w:rsidR="002D538E" w:rsidRPr="002D538E" w:rsidRDefault="002D538E" w:rsidP="002D538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t xml:space="preserve">Контрольно-счетная группа является постоянно действующим органом внешнего муниципального финансового контроля, образуемым советом депутатов Ганьковского сельского поселения и </w:t>
      </w:r>
      <w:proofErr w:type="spellStart"/>
      <w:r w:rsidRPr="002D538E">
        <w:rPr>
          <w:rFonts w:ascii="Times New Roman" w:hAnsi="Times New Roman"/>
          <w:sz w:val="24"/>
          <w:szCs w:val="24"/>
        </w:rPr>
        <w:t>подотчетна</w:t>
      </w:r>
      <w:proofErr w:type="spellEnd"/>
      <w:r w:rsidRPr="002D538E">
        <w:rPr>
          <w:rFonts w:ascii="Times New Roman" w:hAnsi="Times New Roman"/>
          <w:sz w:val="24"/>
          <w:szCs w:val="24"/>
        </w:rPr>
        <w:t xml:space="preserve"> ему.</w:t>
      </w:r>
    </w:p>
    <w:p w:rsidR="002D538E" w:rsidRPr="002D538E" w:rsidRDefault="002D538E" w:rsidP="002D538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t>На законодательном уровне закреплены бюджетные полномочия органов внешнего муниципального финансового контроля:</w:t>
      </w:r>
    </w:p>
    <w:p w:rsidR="002D538E" w:rsidRPr="002D538E" w:rsidRDefault="002D538E" w:rsidP="002D538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t>-организация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иных средств, получаемых местным бюджетом, и иных источников, предусмотренных законодательством Российской Федерации.</w:t>
      </w:r>
    </w:p>
    <w:p w:rsidR="002D538E" w:rsidRPr="002D538E" w:rsidRDefault="002D538E" w:rsidP="002D538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t>-экспертиза проектов местного бюджета, проверка и анализ обоснованности его показателей;</w:t>
      </w:r>
    </w:p>
    <w:p w:rsidR="002D538E" w:rsidRPr="002D538E" w:rsidRDefault="002D538E" w:rsidP="002D538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t xml:space="preserve">-внешняя проверка годового </w:t>
      </w:r>
      <w:proofErr w:type="spellStart"/>
      <w:r w:rsidRPr="002D538E">
        <w:rPr>
          <w:rFonts w:ascii="Times New Roman" w:hAnsi="Times New Roman"/>
          <w:sz w:val="24"/>
          <w:szCs w:val="24"/>
        </w:rPr>
        <w:t>отчета</w:t>
      </w:r>
      <w:proofErr w:type="spellEnd"/>
      <w:r w:rsidRPr="002D538E">
        <w:rPr>
          <w:rFonts w:ascii="Times New Roman" w:hAnsi="Times New Roman"/>
          <w:sz w:val="24"/>
          <w:szCs w:val="24"/>
        </w:rPr>
        <w:t xml:space="preserve"> об исполнении местного бюджета;</w:t>
      </w:r>
    </w:p>
    <w:p w:rsidR="002D538E" w:rsidRPr="002D538E" w:rsidRDefault="002D538E" w:rsidP="002D538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t>-проведение аудита эффективности, направленный на определение экономности и результативности использования бюджетных средств;</w:t>
      </w:r>
    </w:p>
    <w:p w:rsidR="002D538E" w:rsidRPr="002D538E" w:rsidRDefault="002D538E" w:rsidP="002D538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t xml:space="preserve">-анализ и мониторинг бюджетного процесса, в том числе по подготовке предложений по устранению выявленных отклонений в бюджетном процессе и совершенствованию правовых актов в сфере бюджетных правоотношений; </w:t>
      </w:r>
    </w:p>
    <w:p w:rsidR="002D538E" w:rsidRPr="002D538E" w:rsidRDefault="002D538E" w:rsidP="002D538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t>-экспертиза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2D538E" w:rsidRPr="002D538E" w:rsidRDefault="002D538E" w:rsidP="002D538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t xml:space="preserve">-проведение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</w:t>
      </w:r>
      <w:proofErr w:type="spellStart"/>
      <w:r w:rsidRPr="002D538E">
        <w:rPr>
          <w:rFonts w:ascii="Times New Roman" w:hAnsi="Times New Roman"/>
          <w:sz w:val="24"/>
          <w:szCs w:val="24"/>
        </w:rPr>
        <w:t>проведенных</w:t>
      </w:r>
      <w:proofErr w:type="spellEnd"/>
      <w:r w:rsidRPr="002D538E">
        <w:rPr>
          <w:rFonts w:ascii="Times New Roman" w:hAnsi="Times New Roman"/>
          <w:sz w:val="24"/>
          <w:szCs w:val="24"/>
        </w:rPr>
        <w:t xml:space="preserve">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2D538E" w:rsidRPr="002D538E" w:rsidRDefault="002D538E" w:rsidP="002D538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t>-иные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2D538E" w:rsidRPr="002D538E" w:rsidRDefault="002D538E" w:rsidP="002D538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lastRenderedPageBreak/>
        <w:t>В процессе реализации полномочий контрольно-счетная группа осуществляла проведение целостного и взаимоувязанного комплекса контрольных и экспертно-аналитических мероприятий, обеспечивая единую систему контроля за исполнением местного бюджета.</w:t>
      </w:r>
    </w:p>
    <w:p w:rsidR="002D538E" w:rsidRPr="002D538E" w:rsidRDefault="002D538E" w:rsidP="002D538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t>Контрольная деятельность</w:t>
      </w:r>
    </w:p>
    <w:p w:rsidR="002D538E" w:rsidRPr="00F70903" w:rsidRDefault="002D538E" w:rsidP="002D538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t xml:space="preserve">В 2023 году проведено внеплановое контрольное мероприятие по вопросу проверки законности и результативности использования средств местного бюджета выделенных на строительство подвесного моста в дер. Усадище Ганьковского сельского поселения. Объектом проверки являлась администрация Ганьковского сельского поселения. </w:t>
      </w:r>
      <w:proofErr w:type="spellStart"/>
      <w:r w:rsidRPr="002D538E">
        <w:rPr>
          <w:rFonts w:ascii="Times New Roman" w:hAnsi="Times New Roman"/>
          <w:sz w:val="24"/>
          <w:szCs w:val="24"/>
        </w:rPr>
        <w:t>Отчетном</w:t>
      </w:r>
      <w:proofErr w:type="spellEnd"/>
      <w:r w:rsidRPr="002D538E">
        <w:rPr>
          <w:rFonts w:ascii="Times New Roman" w:hAnsi="Times New Roman"/>
          <w:sz w:val="24"/>
          <w:szCs w:val="24"/>
        </w:rPr>
        <w:t xml:space="preserve"> периоде произведена оплата авансовых платежей в сумме 1 684 609,00 рублей. срок сдачи объекта </w:t>
      </w:r>
      <w:proofErr w:type="spellStart"/>
      <w:r w:rsidRPr="002D538E">
        <w:rPr>
          <w:rFonts w:ascii="Times New Roman" w:hAnsi="Times New Roman"/>
          <w:sz w:val="24"/>
          <w:szCs w:val="24"/>
        </w:rPr>
        <w:t>определен</w:t>
      </w:r>
      <w:proofErr w:type="spellEnd"/>
      <w:r w:rsidRPr="002D538E">
        <w:rPr>
          <w:rFonts w:ascii="Times New Roman" w:hAnsi="Times New Roman"/>
          <w:sz w:val="24"/>
          <w:szCs w:val="24"/>
        </w:rPr>
        <w:t xml:space="preserve"> муниципальным контрактом февраль 2024 год.</w:t>
      </w:r>
    </w:p>
    <w:p w:rsidR="002D538E" w:rsidRPr="002D538E" w:rsidRDefault="002D538E" w:rsidP="002D538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t>Экспертно-аналитические мероприятия</w:t>
      </w:r>
    </w:p>
    <w:p w:rsidR="002D538E" w:rsidRPr="002D538E" w:rsidRDefault="002D538E" w:rsidP="004C3DCF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t xml:space="preserve">Экспертно-аналитическая деятельность КСГ была представлена комплексом мероприятий в отношении бюджетных средств и муниципальной собственности. В 2023 году проведено 10 экспертно- аналитических мероприятий, включающих: - финансово-экономическую экспертизу проектов решения совета депутатов муниципального образования Ганьковского сельского поселения «О внесении изменений и дополнений в решение совета депутатов Ганьковского сельского поселения «О бюджете на 2023 год и плановый период 2024 и 2025 годов» (4 мероприятий), внешняя проверка годового </w:t>
      </w:r>
      <w:proofErr w:type="spellStart"/>
      <w:r w:rsidRPr="002D538E">
        <w:rPr>
          <w:rFonts w:ascii="Times New Roman" w:hAnsi="Times New Roman"/>
          <w:sz w:val="24"/>
          <w:szCs w:val="24"/>
        </w:rPr>
        <w:t>отчета</w:t>
      </w:r>
      <w:proofErr w:type="spellEnd"/>
      <w:r w:rsidRPr="002D538E">
        <w:rPr>
          <w:rFonts w:ascii="Times New Roman" w:hAnsi="Times New Roman"/>
          <w:sz w:val="24"/>
          <w:szCs w:val="24"/>
        </w:rPr>
        <w:t xml:space="preserve"> об исполнении бюджета за 1 квартал, за полугодие и девять месяцев 2023 года.   Заключения, составленные по результатам экспертно-аналитических мероприятий, направлялись главе муниципального образования Ганьковского сельского поселения и главному распределителю бюджетных средств.</w:t>
      </w:r>
    </w:p>
    <w:p w:rsidR="002D538E" w:rsidRPr="002D538E" w:rsidRDefault="002D538E" w:rsidP="004C3DCF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t xml:space="preserve">В рамках последующего контроля в соответствии со </w:t>
      </w:r>
      <w:proofErr w:type="spellStart"/>
      <w:r w:rsidRPr="002D538E">
        <w:rPr>
          <w:rFonts w:ascii="Times New Roman" w:hAnsi="Times New Roman"/>
          <w:sz w:val="24"/>
          <w:szCs w:val="24"/>
        </w:rPr>
        <w:t>статьей</w:t>
      </w:r>
      <w:proofErr w:type="spellEnd"/>
      <w:r w:rsidRPr="002D538E">
        <w:rPr>
          <w:rFonts w:ascii="Times New Roman" w:hAnsi="Times New Roman"/>
          <w:sz w:val="24"/>
          <w:szCs w:val="24"/>
        </w:rPr>
        <w:t xml:space="preserve"> 264.4 Бюджетного кодекса Российской Федерации проведена внешняя проверка годового </w:t>
      </w:r>
      <w:proofErr w:type="spellStart"/>
      <w:r w:rsidRPr="002D538E">
        <w:rPr>
          <w:rFonts w:ascii="Times New Roman" w:hAnsi="Times New Roman"/>
          <w:sz w:val="24"/>
          <w:szCs w:val="24"/>
        </w:rPr>
        <w:t>отчета</w:t>
      </w:r>
      <w:proofErr w:type="spellEnd"/>
      <w:r w:rsidRPr="002D538E">
        <w:rPr>
          <w:rFonts w:ascii="Times New Roman" w:hAnsi="Times New Roman"/>
          <w:sz w:val="24"/>
          <w:szCs w:val="24"/>
        </w:rPr>
        <w:t xml:space="preserve"> об исполнении бюджета муниципального образования Ганьковское сельское поселение за 2022 год, которая включает внешнюю проверку бюджетной </w:t>
      </w:r>
      <w:proofErr w:type="spellStart"/>
      <w:r w:rsidRPr="002D538E">
        <w:rPr>
          <w:rFonts w:ascii="Times New Roman" w:hAnsi="Times New Roman"/>
          <w:sz w:val="24"/>
          <w:szCs w:val="24"/>
        </w:rPr>
        <w:t>отчетности</w:t>
      </w:r>
      <w:proofErr w:type="spellEnd"/>
      <w:r w:rsidRPr="002D538E">
        <w:rPr>
          <w:rFonts w:ascii="Times New Roman" w:hAnsi="Times New Roman"/>
          <w:sz w:val="24"/>
          <w:szCs w:val="24"/>
        </w:rPr>
        <w:t xml:space="preserve"> главных администратором бюджетных средств и подготовку заключения на годовой </w:t>
      </w:r>
      <w:proofErr w:type="spellStart"/>
      <w:r w:rsidRPr="002D538E">
        <w:rPr>
          <w:rFonts w:ascii="Times New Roman" w:hAnsi="Times New Roman"/>
          <w:sz w:val="24"/>
          <w:szCs w:val="24"/>
        </w:rPr>
        <w:t>отчет</w:t>
      </w:r>
      <w:proofErr w:type="spellEnd"/>
      <w:r w:rsidRPr="002D538E">
        <w:rPr>
          <w:rFonts w:ascii="Times New Roman" w:hAnsi="Times New Roman"/>
          <w:sz w:val="24"/>
          <w:szCs w:val="24"/>
        </w:rPr>
        <w:t xml:space="preserve"> об исполнении бюджета. В ходе проведения внешней проверки бюджетной отчётности установлено, бюджетная отчётность по составу и содержанию (перечню </w:t>
      </w:r>
      <w:proofErr w:type="spellStart"/>
      <w:r w:rsidRPr="002D538E">
        <w:rPr>
          <w:rFonts w:ascii="Times New Roman" w:hAnsi="Times New Roman"/>
          <w:sz w:val="24"/>
          <w:szCs w:val="24"/>
        </w:rPr>
        <w:t>отраженных</w:t>
      </w:r>
      <w:proofErr w:type="spellEnd"/>
      <w:r w:rsidRPr="002D538E">
        <w:rPr>
          <w:rFonts w:ascii="Times New Roman" w:hAnsi="Times New Roman"/>
          <w:sz w:val="24"/>
          <w:szCs w:val="24"/>
        </w:rPr>
        <w:t xml:space="preserve"> в нем показателей) соответствует перечню и содержанию форм Инструкции № 191н.  При сопоставлении показателей между различными формами бюджетной </w:t>
      </w:r>
      <w:proofErr w:type="spellStart"/>
      <w:r w:rsidRPr="002D538E">
        <w:rPr>
          <w:rFonts w:ascii="Times New Roman" w:hAnsi="Times New Roman"/>
          <w:sz w:val="24"/>
          <w:szCs w:val="24"/>
        </w:rPr>
        <w:t>отчетности</w:t>
      </w:r>
      <w:proofErr w:type="spellEnd"/>
      <w:r w:rsidRPr="002D538E">
        <w:rPr>
          <w:rFonts w:ascii="Times New Roman" w:hAnsi="Times New Roman"/>
          <w:sz w:val="24"/>
          <w:szCs w:val="24"/>
        </w:rPr>
        <w:t xml:space="preserve"> расхождений не установлено. </w:t>
      </w:r>
      <w:proofErr w:type="spellStart"/>
      <w:r w:rsidRPr="002D538E">
        <w:rPr>
          <w:rFonts w:ascii="Times New Roman" w:hAnsi="Times New Roman"/>
          <w:sz w:val="24"/>
          <w:szCs w:val="24"/>
        </w:rPr>
        <w:t>Отчет</w:t>
      </w:r>
      <w:proofErr w:type="spellEnd"/>
      <w:r w:rsidRPr="002D538E">
        <w:rPr>
          <w:rFonts w:ascii="Times New Roman" w:hAnsi="Times New Roman"/>
          <w:sz w:val="24"/>
          <w:szCs w:val="24"/>
        </w:rPr>
        <w:t xml:space="preserve"> об исполнении бюджета соответствует требованиям Бюджетного кодекса Российской Федерации и Положения о бюджетном процессе и был рекомендован совету депутатов к рассмотрению и утверждению.  </w:t>
      </w:r>
    </w:p>
    <w:p w:rsidR="002D538E" w:rsidRPr="002D538E" w:rsidRDefault="002D538E" w:rsidP="004C3DCF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t xml:space="preserve">В ходе экспертизы проекта решения «О бюджете муниципального образования Ганьковское сельское поселение Тихвинский муниципальный район Ленинградской области на 2024 год и плановый период 2025 и 2026 годов». </w:t>
      </w:r>
      <w:proofErr w:type="spellStart"/>
      <w:r w:rsidRPr="002D538E">
        <w:rPr>
          <w:rFonts w:ascii="Times New Roman" w:hAnsi="Times New Roman"/>
          <w:sz w:val="24"/>
          <w:szCs w:val="24"/>
        </w:rPr>
        <w:t>Проведен</w:t>
      </w:r>
      <w:proofErr w:type="spellEnd"/>
      <w:r w:rsidRPr="002D538E">
        <w:rPr>
          <w:rFonts w:ascii="Times New Roman" w:hAnsi="Times New Roman"/>
          <w:sz w:val="24"/>
          <w:szCs w:val="24"/>
        </w:rPr>
        <w:t xml:space="preserve"> анализ основных характеристик проекта бюджета на соответствие бюджетному законодательству Российской Федерации, по вопросам обоснованности доходной и расходной части проекта бюджета источникам финансирования дефицита бюджета. Подготовлено два заключения к первому и второму чтению на проект решения совета депутатов Ганьковского сельского поселения «О бюджете муниципального образования Ганьковское сельское поселение на 2024 год и плановый период 2025 и 2026 годов».</w:t>
      </w:r>
    </w:p>
    <w:p w:rsidR="002D538E" w:rsidRPr="002D538E" w:rsidRDefault="002D538E" w:rsidP="004C3DCF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t>В рамках внешнего муниципального финансового контроля осуществлялся анализ основных характеристик бюджета Ганьковское сельское поселение за период 2023 год, распределение расходов по разделам и подразделам классификации расходов бюджетов бюджетной системы Российской Федерации, оценка эффективности муниципальных программ.</w:t>
      </w:r>
    </w:p>
    <w:p w:rsidR="008A2878" w:rsidRPr="00031566" w:rsidRDefault="002D538E" w:rsidP="00031566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2D538E">
        <w:rPr>
          <w:rFonts w:ascii="Times New Roman" w:hAnsi="Times New Roman"/>
          <w:sz w:val="24"/>
          <w:szCs w:val="24"/>
        </w:rPr>
        <w:t xml:space="preserve">Расходные обязательства осуществлялись в рамках </w:t>
      </w:r>
      <w:proofErr w:type="spellStart"/>
      <w:r w:rsidRPr="002D538E">
        <w:rPr>
          <w:rFonts w:ascii="Times New Roman" w:hAnsi="Times New Roman"/>
          <w:sz w:val="24"/>
          <w:szCs w:val="24"/>
        </w:rPr>
        <w:t>утвержденных</w:t>
      </w:r>
      <w:proofErr w:type="spellEnd"/>
      <w:r w:rsidRPr="002D538E">
        <w:rPr>
          <w:rFonts w:ascii="Times New Roman" w:hAnsi="Times New Roman"/>
          <w:sz w:val="24"/>
          <w:szCs w:val="24"/>
        </w:rPr>
        <w:t xml:space="preserve"> лимитов бюджетных обязательств. </w:t>
      </w:r>
      <w:r w:rsidRPr="004C3DCF">
        <w:rPr>
          <w:rFonts w:ascii="Times New Roman" w:hAnsi="Times New Roman"/>
          <w:sz w:val="24"/>
          <w:szCs w:val="24"/>
        </w:rPr>
        <w:t xml:space="preserve">В результате </w:t>
      </w:r>
      <w:proofErr w:type="spellStart"/>
      <w:r w:rsidRPr="004C3DCF">
        <w:rPr>
          <w:rFonts w:ascii="Times New Roman" w:hAnsi="Times New Roman"/>
          <w:sz w:val="24"/>
          <w:szCs w:val="24"/>
        </w:rPr>
        <w:t>проведенного</w:t>
      </w:r>
      <w:proofErr w:type="spellEnd"/>
      <w:r w:rsidRPr="004C3DCF">
        <w:rPr>
          <w:rFonts w:ascii="Times New Roman" w:hAnsi="Times New Roman"/>
          <w:sz w:val="24"/>
          <w:szCs w:val="24"/>
        </w:rPr>
        <w:t xml:space="preserve"> анализа нарушение бюджетного законодательства не установлено.  </w:t>
      </w:r>
    </w:p>
    <w:sectPr w:rsidR="008A2878" w:rsidRPr="00031566" w:rsidSect="00730D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F1"/>
    <w:rsid w:val="00004CCA"/>
    <w:rsid w:val="00011DBA"/>
    <w:rsid w:val="00021E53"/>
    <w:rsid w:val="00023B46"/>
    <w:rsid w:val="00031566"/>
    <w:rsid w:val="00033565"/>
    <w:rsid w:val="00035972"/>
    <w:rsid w:val="0004252D"/>
    <w:rsid w:val="000440F7"/>
    <w:rsid w:val="00047717"/>
    <w:rsid w:val="00055735"/>
    <w:rsid w:val="00090603"/>
    <w:rsid w:val="000C0A08"/>
    <w:rsid w:val="000C1589"/>
    <w:rsid w:val="000E05AB"/>
    <w:rsid w:val="000F038F"/>
    <w:rsid w:val="00101477"/>
    <w:rsid w:val="0011107D"/>
    <w:rsid w:val="00130B89"/>
    <w:rsid w:val="001326A1"/>
    <w:rsid w:val="00145784"/>
    <w:rsid w:val="00150BEA"/>
    <w:rsid w:val="00150D49"/>
    <w:rsid w:val="00180972"/>
    <w:rsid w:val="0018245A"/>
    <w:rsid w:val="001A311E"/>
    <w:rsid w:val="001A7F42"/>
    <w:rsid w:val="001C25C3"/>
    <w:rsid w:val="001E78E8"/>
    <w:rsid w:val="001F3A5D"/>
    <w:rsid w:val="002157B3"/>
    <w:rsid w:val="002159B3"/>
    <w:rsid w:val="00216399"/>
    <w:rsid w:val="0022304D"/>
    <w:rsid w:val="00274D06"/>
    <w:rsid w:val="00281086"/>
    <w:rsid w:val="00292816"/>
    <w:rsid w:val="002A50DA"/>
    <w:rsid w:val="002A5B1D"/>
    <w:rsid w:val="002A5FCF"/>
    <w:rsid w:val="002B32FC"/>
    <w:rsid w:val="002C6CE0"/>
    <w:rsid w:val="002D2B93"/>
    <w:rsid w:val="002D4A46"/>
    <w:rsid w:val="002D538E"/>
    <w:rsid w:val="002D63CD"/>
    <w:rsid w:val="002F13B0"/>
    <w:rsid w:val="00303792"/>
    <w:rsid w:val="00320096"/>
    <w:rsid w:val="00325924"/>
    <w:rsid w:val="00333DD2"/>
    <w:rsid w:val="0034293D"/>
    <w:rsid w:val="00376DBB"/>
    <w:rsid w:val="003868B1"/>
    <w:rsid w:val="003957F5"/>
    <w:rsid w:val="003B0473"/>
    <w:rsid w:val="003C398C"/>
    <w:rsid w:val="003C76C6"/>
    <w:rsid w:val="003E0523"/>
    <w:rsid w:val="003F2530"/>
    <w:rsid w:val="00407D3D"/>
    <w:rsid w:val="004627CB"/>
    <w:rsid w:val="0047377A"/>
    <w:rsid w:val="00477AF1"/>
    <w:rsid w:val="00492F88"/>
    <w:rsid w:val="004979F6"/>
    <w:rsid w:val="004B5EE9"/>
    <w:rsid w:val="004C02AE"/>
    <w:rsid w:val="004C3DCF"/>
    <w:rsid w:val="004C6CD5"/>
    <w:rsid w:val="004D237F"/>
    <w:rsid w:val="004E509B"/>
    <w:rsid w:val="00503CEB"/>
    <w:rsid w:val="005057F4"/>
    <w:rsid w:val="00512ACB"/>
    <w:rsid w:val="00512D11"/>
    <w:rsid w:val="00532759"/>
    <w:rsid w:val="00537C2B"/>
    <w:rsid w:val="00544A69"/>
    <w:rsid w:val="00545419"/>
    <w:rsid w:val="00572964"/>
    <w:rsid w:val="005849EC"/>
    <w:rsid w:val="005F52E0"/>
    <w:rsid w:val="005F5F59"/>
    <w:rsid w:val="006352D8"/>
    <w:rsid w:val="006409B8"/>
    <w:rsid w:val="00643C12"/>
    <w:rsid w:val="006558E2"/>
    <w:rsid w:val="00661C6E"/>
    <w:rsid w:val="0067212A"/>
    <w:rsid w:val="00672924"/>
    <w:rsid w:val="00697DEE"/>
    <w:rsid w:val="006B0961"/>
    <w:rsid w:val="006C7F45"/>
    <w:rsid w:val="006E0A56"/>
    <w:rsid w:val="006E5521"/>
    <w:rsid w:val="006F6834"/>
    <w:rsid w:val="00711B81"/>
    <w:rsid w:val="00712A0F"/>
    <w:rsid w:val="00725A6A"/>
    <w:rsid w:val="00730D91"/>
    <w:rsid w:val="0077615E"/>
    <w:rsid w:val="007A7588"/>
    <w:rsid w:val="007B06F7"/>
    <w:rsid w:val="007B188B"/>
    <w:rsid w:val="007C5FE7"/>
    <w:rsid w:val="007F0D5B"/>
    <w:rsid w:val="00813298"/>
    <w:rsid w:val="0082160D"/>
    <w:rsid w:val="00823B1B"/>
    <w:rsid w:val="008339D4"/>
    <w:rsid w:val="0086167F"/>
    <w:rsid w:val="00867012"/>
    <w:rsid w:val="008A06A7"/>
    <w:rsid w:val="008A2878"/>
    <w:rsid w:val="008A310A"/>
    <w:rsid w:val="008A3458"/>
    <w:rsid w:val="008C49ED"/>
    <w:rsid w:val="008C7FEE"/>
    <w:rsid w:val="008D1B9E"/>
    <w:rsid w:val="008F03A8"/>
    <w:rsid w:val="00903217"/>
    <w:rsid w:val="009173AE"/>
    <w:rsid w:val="0092122A"/>
    <w:rsid w:val="00924425"/>
    <w:rsid w:val="0093428F"/>
    <w:rsid w:val="009409E0"/>
    <w:rsid w:val="00952FDB"/>
    <w:rsid w:val="00986A17"/>
    <w:rsid w:val="00993FB4"/>
    <w:rsid w:val="009A185E"/>
    <w:rsid w:val="009C48C0"/>
    <w:rsid w:val="009C535D"/>
    <w:rsid w:val="009C6A44"/>
    <w:rsid w:val="009E72DD"/>
    <w:rsid w:val="00A1338F"/>
    <w:rsid w:val="00A77777"/>
    <w:rsid w:val="00A94270"/>
    <w:rsid w:val="00A963CC"/>
    <w:rsid w:val="00AA7FF2"/>
    <w:rsid w:val="00AD4BFC"/>
    <w:rsid w:val="00AE7B9B"/>
    <w:rsid w:val="00AF7686"/>
    <w:rsid w:val="00B12019"/>
    <w:rsid w:val="00B25B90"/>
    <w:rsid w:val="00B34C18"/>
    <w:rsid w:val="00B87C77"/>
    <w:rsid w:val="00B95BFE"/>
    <w:rsid w:val="00BA5CF7"/>
    <w:rsid w:val="00BF7CCA"/>
    <w:rsid w:val="00C10D5D"/>
    <w:rsid w:val="00C13BF3"/>
    <w:rsid w:val="00C23EC3"/>
    <w:rsid w:val="00C43F03"/>
    <w:rsid w:val="00C4606F"/>
    <w:rsid w:val="00C50F17"/>
    <w:rsid w:val="00C73075"/>
    <w:rsid w:val="00C826C7"/>
    <w:rsid w:val="00CA1E18"/>
    <w:rsid w:val="00CA746A"/>
    <w:rsid w:val="00CB19FB"/>
    <w:rsid w:val="00CB34C4"/>
    <w:rsid w:val="00CB64F7"/>
    <w:rsid w:val="00CC69B6"/>
    <w:rsid w:val="00CE03BD"/>
    <w:rsid w:val="00CE3D6D"/>
    <w:rsid w:val="00CF787F"/>
    <w:rsid w:val="00D027D4"/>
    <w:rsid w:val="00D04792"/>
    <w:rsid w:val="00D10879"/>
    <w:rsid w:val="00D2285F"/>
    <w:rsid w:val="00D22E39"/>
    <w:rsid w:val="00D37138"/>
    <w:rsid w:val="00D41D71"/>
    <w:rsid w:val="00D61F39"/>
    <w:rsid w:val="00D8320E"/>
    <w:rsid w:val="00DB37C9"/>
    <w:rsid w:val="00DC62E9"/>
    <w:rsid w:val="00DC665B"/>
    <w:rsid w:val="00DC77AD"/>
    <w:rsid w:val="00DE1A01"/>
    <w:rsid w:val="00DF61AF"/>
    <w:rsid w:val="00DF73E8"/>
    <w:rsid w:val="00E05033"/>
    <w:rsid w:val="00E90ECF"/>
    <w:rsid w:val="00EC15CC"/>
    <w:rsid w:val="00ED480C"/>
    <w:rsid w:val="00EE62EE"/>
    <w:rsid w:val="00EF2E25"/>
    <w:rsid w:val="00F15D52"/>
    <w:rsid w:val="00F25C07"/>
    <w:rsid w:val="00F34CD4"/>
    <w:rsid w:val="00F37FB4"/>
    <w:rsid w:val="00F63A5E"/>
    <w:rsid w:val="00F70903"/>
    <w:rsid w:val="00F70EB1"/>
    <w:rsid w:val="00F907DF"/>
    <w:rsid w:val="00F97520"/>
    <w:rsid w:val="00FA236E"/>
    <w:rsid w:val="00FA7CDD"/>
    <w:rsid w:val="00FD1B2E"/>
    <w:rsid w:val="00FE6421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8770"/>
  <w15:chartTrackingRefBased/>
  <w15:docId w15:val="{606530AF-46E6-4897-B108-CA46B5C5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16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281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81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81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81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816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816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816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816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816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2816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92816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92816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92816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292816"/>
    <w:rPr>
      <w:smallCaps/>
      <w:color w:val="538135"/>
      <w:spacing w:val="10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292816"/>
    <w:rPr>
      <w:smallCaps/>
      <w:color w:val="70AD47"/>
      <w:spacing w:val="5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292816"/>
    <w:rPr>
      <w:b/>
      <w:bCs/>
      <w:smallCaps/>
      <w:color w:val="70AD47"/>
      <w:spacing w:val="10"/>
    </w:rPr>
  </w:style>
  <w:style w:type="character" w:customStyle="1" w:styleId="80">
    <w:name w:val="Заголовок 8 Знак"/>
    <w:link w:val="8"/>
    <w:uiPriority w:val="9"/>
    <w:semiHidden/>
    <w:rsid w:val="00292816"/>
    <w:rPr>
      <w:b/>
      <w:bCs/>
      <w:i/>
      <w:iCs/>
      <w:smallCaps/>
      <w:color w:val="538135"/>
    </w:rPr>
  </w:style>
  <w:style w:type="character" w:customStyle="1" w:styleId="90">
    <w:name w:val="Заголовок 9 Знак"/>
    <w:link w:val="9"/>
    <w:uiPriority w:val="9"/>
    <w:semiHidden/>
    <w:rsid w:val="00292816"/>
    <w:rPr>
      <w:b/>
      <w:bCs/>
      <w:i/>
      <w:iCs/>
      <w:smallCaps/>
      <w:color w:val="385623"/>
    </w:rPr>
  </w:style>
  <w:style w:type="paragraph" w:styleId="a3">
    <w:name w:val="caption"/>
    <w:basedOn w:val="a"/>
    <w:next w:val="a"/>
    <w:uiPriority w:val="35"/>
    <w:semiHidden/>
    <w:unhideWhenUsed/>
    <w:qFormat/>
    <w:rsid w:val="00292816"/>
    <w:rPr>
      <w:b/>
      <w:bCs/>
      <w:caps/>
      <w:sz w:val="16"/>
      <w:szCs w:val="16"/>
    </w:rPr>
  </w:style>
  <w:style w:type="paragraph" w:customStyle="1" w:styleId="a4">
    <w:name w:val="Название"/>
    <w:basedOn w:val="a"/>
    <w:next w:val="a"/>
    <w:link w:val="a5"/>
    <w:uiPriority w:val="10"/>
    <w:qFormat/>
    <w:rsid w:val="00292816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a5">
    <w:name w:val="Название Знак"/>
    <w:link w:val="a4"/>
    <w:uiPriority w:val="10"/>
    <w:rsid w:val="00292816"/>
    <w:rPr>
      <w:smallCaps/>
      <w:color w:val="262626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2816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7">
    <w:name w:val="Подзаголовок Знак"/>
    <w:link w:val="a6"/>
    <w:uiPriority w:val="11"/>
    <w:rsid w:val="00292816"/>
    <w:rPr>
      <w:rFonts w:ascii="Calibri Light" w:eastAsia="SimSun" w:hAnsi="Calibri Light" w:cs="Times New Roman"/>
    </w:rPr>
  </w:style>
  <w:style w:type="character" w:styleId="a8">
    <w:name w:val="Strong"/>
    <w:uiPriority w:val="22"/>
    <w:qFormat/>
    <w:rsid w:val="00292816"/>
    <w:rPr>
      <w:b/>
      <w:bCs/>
      <w:color w:val="70AD47"/>
    </w:rPr>
  </w:style>
  <w:style w:type="character" w:styleId="a9">
    <w:name w:val="Emphasis"/>
    <w:uiPriority w:val="20"/>
    <w:qFormat/>
    <w:rsid w:val="00292816"/>
    <w:rPr>
      <w:b/>
      <w:bCs/>
      <w:i/>
      <w:iCs/>
      <w:spacing w:val="10"/>
    </w:rPr>
  </w:style>
  <w:style w:type="paragraph" w:styleId="aa">
    <w:name w:val="No Spacing"/>
    <w:uiPriority w:val="1"/>
    <w:qFormat/>
    <w:rsid w:val="00292816"/>
    <w:pPr>
      <w:jc w:val="both"/>
    </w:pPr>
  </w:style>
  <w:style w:type="paragraph" w:styleId="21">
    <w:name w:val="Quote"/>
    <w:basedOn w:val="a"/>
    <w:next w:val="a"/>
    <w:link w:val="22"/>
    <w:uiPriority w:val="29"/>
    <w:qFormat/>
    <w:rsid w:val="00292816"/>
    <w:rPr>
      <w:i/>
      <w:iCs/>
    </w:rPr>
  </w:style>
  <w:style w:type="character" w:customStyle="1" w:styleId="22">
    <w:name w:val="Цитата 2 Знак"/>
    <w:link w:val="21"/>
    <w:uiPriority w:val="29"/>
    <w:rsid w:val="0029281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2816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292816"/>
    <w:rPr>
      <w:b/>
      <w:bCs/>
      <w:i/>
      <w:iCs/>
    </w:rPr>
  </w:style>
  <w:style w:type="character" w:styleId="ad">
    <w:name w:val="Subtle Emphasis"/>
    <w:uiPriority w:val="19"/>
    <w:qFormat/>
    <w:rsid w:val="00292816"/>
    <w:rPr>
      <w:i/>
      <w:iCs/>
    </w:rPr>
  </w:style>
  <w:style w:type="character" w:styleId="ae">
    <w:name w:val="Intense Emphasis"/>
    <w:uiPriority w:val="21"/>
    <w:qFormat/>
    <w:rsid w:val="00292816"/>
    <w:rPr>
      <w:b/>
      <w:bCs/>
      <w:i/>
      <w:iCs/>
      <w:color w:val="70AD47"/>
      <w:spacing w:val="10"/>
    </w:rPr>
  </w:style>
  <w:style w:type="character" w:styleId="af">
    <w:name w:val="Subtle Reference"/>
    <w:uiPriority w:val="31"/>
    <w:qFormat/>
    <w:rsid w:val="00292816"/>
    <w:rPr>
      <w:b/>
      <w:bCs/>
    </w:rPr>
  </w:style>
  <w:style w:type="character" w:styleId="af0">
    <w:name w:val="Intense Reference"/>
    <w:uiPriority w:val="32"/>
    <w:qFormat/>
    <w:rsid w:val="00292816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292816"/>
    <w:rPr>
      <w:rFonts w:ascii="Calibri Light" w:eastAsia="SimSun" w:hAnsi="Calibri Light" w:cs="Times New Roman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292816"/>
    <w:pPr>
      <w:outlineLvl w:val="9"/>
    </w:pPr>
  </w:style>
  <w:style w:type="paragraph" w:styleId="af3">
    <w:name w:val="List Paragraph"/>
    <w:basedOn w:val="a"/>
    <w:uiPriority w:val="34"/>
    <w:qFormat/>
    <w:rsid w:val="00130B89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101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101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Соболь Наталья Николаевна</dc:creator>
  <cp:keywords/>
  <dc:description/>
  <cp:lastModifiedBy>u</cp:lastModifiedBy>
  <cp:revision>4</cp:revision>
  <cp:lastPrinted>2023-06-29T10:46:00Z</cp:lastPrinted>
  <dcterms:created xsi:type="dcterms:W3CDTF">2024-06-17T07:10:00Z</dcterms:created>
  <dcterms:modified xsi:type="dcterms:W3CDTF">2024-06-17T07:35:00Z</dcterms:modified>
</cp:coreProperties>
</file>