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УТВЕРЖДЕНО: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Главный архитектор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«______»___________2014г.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40"/>
          <w:b/>
          <w:sz w:val="40"/>
          <w:b/>
          <w:szCs w:val="40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40"/>
          <w:szCs w:val="40"/>
          <w:lang w:eastAsia="ru-RU"/>
        </w:rPr>
        <w:t>Проект планировки территории северо-восточнее деревни Фишева Гора Тихвинского городского поселения Тихвинского муниципального района Ленинградской области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УТВЕРЖДЕНО: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Заказчик: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Тихвинского городского поселения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адресу: Ленинградская область, Тихвинский муниципальный район, Тихвинское городское поселение, северо-восточнее деревни Фишева Гора.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sz w:val="32"/>
          <w:szCs w:val="32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Пояснительная записка – ПЗ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Исполнитель:  ООО"АрмРус"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2014г.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ПОЯСНИТЕЛЬНАЯ ЗАПИСКА</w:t>
      </w:r>
      <w:r/>
    </w:p>
    <w:p>
      <w:pPr>
        <w:pStyle w:val="Normal"/>
        <w:spacing w:lineRule="auto" w:line="240" w:before="0" w:after="0"/>
        <w:ind w:firstLine="972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Содержание:</w:t>
      </w:r>
      <w:r/>
    </w:p>
    <w:p>
      <w:pPr>
        <w:pStyle w:val="Normal"/>
        <w:spacing w:lineRule="auto" w:line="240" w:before="0" w:after="0"/>
        <w:ind w:firstLine="972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АРХИТЕКТУРНО-ПЛАНИРОВОЧНАЯ ЧАСТЬ.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 Местоположение, природные условия и характеристика территории участка;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 Проект планировочной организации территории.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1.2.1. Планировочная структура и зонирование территории.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1.2.2. Транспортные и пешеходные коммуникации.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1.2.3. Озеленение и благоустройство.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1.2.4. Организация рельефа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ТЕХНИКО-ЭКОНОМИЧЕСКАЯ ЧАСТЬ.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ИНЖЕНЕРНЫЕ РЕШЕНИЯ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numPr>
          <w:ilvl w:val="1"/>
          <w:numId w:val="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Водоснабжение и канализация.</w:t>
      </w:r>
      <w:r/>
    </w:p>
    <w:p>
      <w:pPr>
        <w:pStyle w:val="Normal"/>
        <w:numPr>
          <w:ilvl w:val="1"/>
          <w:numId w:val="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Отопление. Вентиляция.</w:t>
      </w:r>
      <w:r/>
    </w:p>
    <w:p>
      <w:pPr>
        <w:pStyle w:val="Normal"/>
        <w:numPr>
          <w:ilvl w:val="1"/>
          <w:numId w:val="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Электроснабжение.</w:t>
      </w:r>
      <w:r/>
    </w:p>
    <w:p>
      <w:pPr>
        <w:pStyle w:val="Normal"/>
        <w:numPr>
          <w:ilvl w:val="1"/>
          <w:numId w:val="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Газоснабжение.</w:t>
      </w:r>
      <w:r/>
    </w:p>
    <w:p>
      <w:pPr>
        <w:pStyle w:val="Normal"/>
        <w:numPr>
          <w:ilvl w:val="1"/>
          <w:numId w:val="1"/>
        </w:numPr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Система связи.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МЕРОПРИЯТИЯ ПО ОБЕСПЕЧЕНИЮ ПОЖАРНОЙ БЕЗОПАСНОСТИ.</w:t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  <w:r/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36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МЕРОПРИЯТИЯ ПО ОХРАНЕ ОКРУЖАЮЩЕЙ СРЕДЫ И ОЧИСТКА ТЕРРИТОРИИ.</w:t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/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АРХИТЕКТУРНО-ПЛАНИРОВОЧНАЯ ЧАСТЬ</w:t>
      </w:r>
      <w:r/>
    </w:p>
    <w:p>
      <w:pPr>
        <w:pStyle w:val="ListParagraph"/>
        <w:spacing w:lineRule="auto" w:line="240" w:before="0" w:after="0"/>
        <w:contextualSpacing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  <w:r/>
    </w:p>
    <w:p>
      <w:pPr>
        <w:pStyle w:val="ListParagraph"/>
        <w:numPr>
          <w:ilvl w:val="1"/>
          <w:numId w:val="3"/>
        </w:numPr>
        <w:spacing w:lineRule="auto" w:line="240" w:before="0" w:after="0"/>
        <w:ind w:left="0" w:hanging="360"/>
        <w:contextualSpacing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Местоположение, природные условия и характеристика территории участка</w:t>
      </w:r>
      <w:r/>
    </w:p>
    <w:p>
      <w:pPr>
        <w:pStyle w:val="ListParagraph"/>
        <w:spacing w:lineRule="auto" w:line="240" w:before="0" w:after="0"/>
        <w:ind w:left="0" w:hanging="0"/>
        <w:contextualSpacing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Территория участка, предлагаемого для планировки площадью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23,16 га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 расположена по адресу: Ленинградская область, Тихвинский район, Тихвинское городское поселение, северо-восточнее деревни Фишева Гора.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16"/>
          <w:sz w:val="16"/>
          <w:szCs w:val="16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Территория относится к функциональной зоне Ж-2 – зона застройки малоэтажными и среднеэтажными жилыми домами.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Территория проектируемого участка ограничена: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 севера – землями Администрации муниципального образования Тихвинское городское поселение Тихвинского муниципального района Ленинградской области;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 востока – земельным участком сельскохозяйственного назначения с кадастровым номером 47:13:0916002:86;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 юга – землями частной застройки д. Фишева Гора;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с запада – землями частной застройки д. Фишева Гора.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Проектируемая территория в названных границах представляет собой участок сложной формы.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территорию возможен въезд с ул. Фишева Гора.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Проектируемая территория участка свободна от застройки.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Инженерные сети на участке отсутствуют.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Основная растительность луговая, имеются отдельные участки с кустарником, лиственными и хвойными деревьями.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Рельеф участка спокойный, с понижением в северной части территории. Перепад высот от 42 до 54 м.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Часть территории планируемого участка находится в водоохранной зоне р. Тихвинка. На территории участка находится кабель ОАО "Ростелеком" ВОЛС гл.1.0м., вдоль него предусмотрена охранная зона. Памятники архитектуры отсутствуют.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Территория относится к Балтийско-Ладожскому округу южно-таежной подпровинции Северо-Западной ландшафтной области, к зоне избыточного увлажне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ния. Климат характеризуется как переходный от континентального к морскому, с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умеренно теплым, влажным летом и продолжительной холодной зимой.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Климат </w:t>
      </w:r>
      <w:hyperlink r:id="rId2">
        <w:r>
          <w:rPr>
            <w:rStyle w:val="Style14"/>
            <w:rFonts w:eastAsia="Times New Roman" w:cs="Times New Roman" w:ascii="Times New Roman" w:hAnsi="Times New Roman"/>
            <w:color w:val="000000"/>
            <w:sz w:val="24"/>
            <w:szCs w:val="24"/>
            <w:lang w:eastAsia="ru-RU"/>
          </w:rPr>
          <w:t>умеренно континентальный климат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 Из-за более восточного положения средняя температура января ниже, чем в Петербурге, почти на два градуса.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72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Среднегодовая температура воздуха — 3,8 °C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72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ab/>
        <w:t>Средняя скорость ветра — 3,0 м/с</w:t>
      </w:r>
      <w:r/>
    </w:p>
    <w:tbl>
      <w:tblPr>
        <w:tblpPr w:bottomFromText="0" w:horzAnchor="margin" w:leftFromText="180" w:rightFromText="180" w:tblpX="0" w:tblpXSpec="" w:tblpY="702" w:tblpYSpec="" w:topFromText="0" w:vertAnchor="text"/>
        <w:tblW w:w="9355" w:type="dxa"/>
        <w:jc w:val="left"/>
        <w:tblInd w:w="15" w:type="dxa"/>
        <w:tblBorders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657"/>
        <w:gridCol w:w="559"/>
        <w:gridCol w:w="522"/>
        <w:gridCol w:w="522"/>
        <w:gridCol w:w="522"/>
        <w:gridCol w:w="653"/>
        <w:gridCol w:w="522"/>
        <w:gridCol w:w="522"/>
        <w:gridCol w:w="522"/>
        <w:gridCol w:w="522"/>
        <w:gridCol w:w="522"/>
        <w:gridCol w:w="598"/>
        <w:gridCol w:w="491"/>
      </w:tblGrid>
      <w:tr>
        <w:trPr>
          <w:trHeight w:val="469" w:hRule="atLeast"/>
        </w:trPr>
        <w:tc>
          <w:tcPr>
            <w:tcW w:w="9354" w:type="dxa"/>
            <w:gridSpan w:val="14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</w:r>
            <w:r/>
          </w:p>
        </w:tc>
      </w:tr>
      <w:tr>
        <w:trPr>
          <w:trHeight w:val="484" w:hRule="atLeast"/>
        </w:trPr>
        <w:tc>
          <w:tcPr>
            <w:tcW w:w="2220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Показатель</w:t>
            </w:r>
            <w:r/>
          </w:p>
        </w:tc>
        <w:tc>
          <w:tcPr>
            <w:tcW w:w="657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Янв</w:t>
            </w:r>
            <w:r/>
          </w:p>
        </w:tc>
        <w:tc>
          <w:tcPr>
            <w:tcW w:w="559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Фев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Мар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Апр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Май</w:t>
            </w:r>
            <w:r/>
          </w:p>
        </w:tc>
        <w:tc>
          <w:tcPr>
            <w:tcW w:w="653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Июн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Июл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Авг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Сен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Окт</w:t>
            </w:r>
            <w:r/>
          </w:p>
        </w:tc>
        <w:tc>
          <w:tcPr>
            <w:tcW w:w="522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Ноя</w:t>
            </w:r>
            <w:r/>
          </w:p>
        </w:tc>
        <w:tc>
          <w:tcPr>
            <w:tcW w:w="598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Дек</w:t>
            </w:r>
            <w:r/>
          </w:p>
        </w:tc>
        <w:tc>
          <w:tcPr>
            <w:tcW w:w="491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Год</w:t>
            </w:r>
            <w:r/>
          </w:p>
        </w:tc>
      </w:tr>
      <w:tr>
        <w:trPr>
          <w:trHeight w:val="484" w:hRule="atLeast"/>
        </w:trPr>
        <w:tc>
          <w:tcPr>
            <w:tcW w:w="2220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Средний максимум, °C</w:t>
            </w:r>
            <w:r/>
          </w:p>
        </w:tc>
        <w:tc>
          <w:tcPr>
            <w:tcW w:w="657" w:type="dxa"/>
            <w:tcBorders/>
            <w:shd w:color="auto" w:fill="80FFC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5,8</w:t>
            </w:r>
            <w:r/>
          </w:p>
        </w:tc>
        <w:tc>
          <w:tcPr>
            <w:tcW w:w="559" w:type="dxa"/>
            <w:tcBorders/>
            <w:shd w:color="auto" w:fill="80FFC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5,1</w:t>
            </w:r>
            <w:r/>
          </w:p>
        </w:tc>
        <w:tc>
          <w:tcPr>
            <w:tcW w:w="522" w:type="dxa"/>
            <w:tcBorders/>
            <w:shd w:color="auto" w:fill="8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0,1</w:t>
            </w:r>
            <w:r/>
          </w:p>
        </w:tc>
        <w:tc>
          <w:tcPr>
            <w:tcW w:w="522" w:type="dxa"/>
            <w:tcBorders/>
            <w:shd w:color="auto" w:fill="E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7,8</w:t>
            </w:r>
            <w:r/>
          </w:p>
        </w:tc>
        <w:tc>
          <w:tcPr>
            <w:tcW w:w="522" w:type="dxa"/>
            <w:tcBorders/>
            <w:shd w:color="auto" w:fill="FFF06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14,8</w:t>
            </w:r>
            <w:r/>
          </w:p>
        </w:tc>
        <w:tc>
          <w:tcPr>
            <w:tcW w:w="653" w:type="dxa"/>
            <w:tcBorders/>
            <w:shd w:color="auto" w:fill="FFD02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19,6</w:t>
            </w:r>
            <w:r/>
          </w:p>
        </w:tc>
        <w:tc>
          <w:tcPr>
            <w:tcW w:w="522" w:type="dxa"/>
            <w:tcBorders/>
            <w:shd w:color="auto" w:fill="FFD02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21,8</w:t>
            </w:r>
            <w:r/>
          </w:p>
        </w:tc>
        <w:tc>
          <w:tcPr>
            <w:tcW w:w="522" w:type="dxa"/>
            <w:tcBorders/>
            <w:shd w:color="auto" w:fill="FFE04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19,2</w:t>
            </w:r>
            <w:r/>
          </w:p>
        </w:tc>
        <w:tc>
          <w:tcPr>
            <w:tcW w:w="522" w:type="dxa"/>
            <w:tcBorders/>
            <w:shd w:color="auto" w:fill="FF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13,2</w:t>
            </w:r>
            <w:r/>
          </w:p>
        </w:tc>
        <w:tc>
          <w:tcPr>
            <w:tcW w:w="522" w:type="dxa"/>
            <w:tcBorders/>
            <w:shd w:color="auto" w:fill="C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6,4</w:t>
            </w:r>
            <w:r/>
          </w:p>
        </w:tc>
        <w:tc>
          <w:tcPr>
            <w:tcW w:w="522" w:type="dxa"/>
            <w:tcBorders/>
            <w:shd w:color="auto" w:fill="8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1,2</w:t>
            </w:r>
            <w:r/>
          </w:p>
        </w:tc>
        <w:tc>
          <w:tcPr>
            <w:tcW w:w="598" w:type="dxa"/>
            <w:tcBorders/>
            <w:shd w:color="auto" w:fill="80FFC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4,9</w:t>
            </w:r>
            <w:r/>
          </w:p>
        </w:tc>
        <w:tc>
          <w:tcPr>
            <w:tcW w:w="491" w:type="dxa"/>
            <w:tcBorders/>
            <w:shd w:color="auto" w:fill="C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7,2</w:t>
            </w:r>
            <w:r/>
          </w:p>
        </w:tc>
      </w:tr>
      <w:tr>
        <w:trPr>
          <w:trHeight w:val="763" w:hRule="atLeast"/>
        </w:trPr>
        <w:tc>
          <w:tcPr>
            <w:tcW w:w="2220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Средняя температура, °C</w:t>
            </w:r>
            <w:r/>
          </w:p>
        </w:tc>
        <w:tc>
          <w:tcPr>
            <w:tcW w:w="657" w:type="dxa"/>
            <w:tcBorders/>
            <w:shd w:color="auto" w:fill="80FFE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8,9</w:t>
            </w:r>
            <w:r/>
          </w:p>
        </w:tc>
        <w:tc>
          <w:tcPr>
            <w:tcW w:w="559" w:type="dxa"/>
            <w:tcBorders/>
            <w:shd w:color="auto" w:fill="80FFE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8,4</w:t>
            </w:r>
            <w:r/>
          </w:p>
        </w:tc>
        <w:tc>
          <w:tcPr>
            <w:tcW w:w="522" w:type="dxa"/>
            <w:tcBorders/>
            <w:shd w:color="auto" w:fill="80FFA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3,6</w:t>
            </w:r>
            <w:r/>
          </w:p>
        </w:tc>
        <w:tc>
          <w:tcPr>
            <w:tcW w:w="522" w:type="dxa"/>
            <w:tcBorders/>
            <w:shd w:color="auto" w:fill="A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3,5</w:t>
            </w:r>
            <w:r/>
          </w:p>
        </w:tc>
        <w:tc>
          <w:tcPr>
            <w:tcW w:w="522" w:type="dxa"/>
            <w:tcBorders/>
            <w:shd w:color="auto" w:fill="FF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10,5</w:t>
            </w:r>
            <w:r/>
          </w:p>
        </w:tc>
        <w:tc>
          <w:tcPr>
            <w:tcW w:w="653" w:type="dxa"/>
            <w:tcBorders/>
            <w:shd w:color="auto" w:fill="FFF06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15,5</w:t>
            </w:r>
            <w:r/>
          </w:p>
        </w:tc>
        <w:tc>
          <w:tcPr>
            <w:tcW w:w="522" w:type="dxa"/>
            <w:tcBorders/>
            <w:shd w:color="auto" w:fill="FFE04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17,8</w:t>
            </w:r>
            <w:r/>
          </w:p>
        </w:tc>
        <w:tc>
          <w:tcPr>
            <w:tcW w:w="522" w:type="dxa"/>
            <w:tcBorders/>
            <w:shd w:color="auto" w:fill="FFF06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15,4</w:t>
            </w:r>
            <w:r/>
          </w:p>
        </w:tc>
        <w:tc>
          <w:tcPr>
            <w:tcW w:w="522" w:type="dxa"/>
            <w:tcBorders/>
            <w:shd w:color="auto" w:fill="E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10,0</w:t>
            </w:r>
            <w:r/>
          </w:p>
        </w:tc>
        <w:tc>
          <w:tcPr>
            <w:tcW w:w="522" w:type="dxa"/>
            <w:tcBorders/>
            <w:shd w:color="auto" w:fill="A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4,0</w:t>
            </w:r>
            <w:r/>
          </w:p>
        </w:tc>
        <w:tc>
          <w:tcPr>
            <w:tcW w:w="522" w:type="dxa"/>
            <w:tcBorders/>
            <w:shd w:color="auto" w:fill="80FFA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3,4</w:t>
            </w:r>
            <w:r/>
          </w:p>
        </w:tc>
        <w:tc>
          <w:tcPr>
            <w:tcW w:w="598" w:type="dxa"/>
            <w:tcBorders/>
            <w:shd w:color="auto" w:fill="80FFE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7,9</w:t>
            </w:r>
            <w:r/>
          </w:p>
        </w:tc>
        <w:tc>
          <w:tcPr>
            <w:tcW w:w="491" w:type="dxa"/>
            <w:tcBorders/>
            <w:shd w:color="auto" w:fill="A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3,8</w:t>
            </w:r>
            <w:r/>
          </w:p>
        </w:tc>
      </w:tr>
      <w:tr>
        <w:trPr>
          <w:trHeight w:val="763" w:hRule="atLeast"/>
        </w:trPr>
        <w:tc>
          <w:tcPr>
            <w:tcW w:w="2220" w:type="dxa"/>
            <w:tcBorders/>
            <w:shd w:color="auto" w:fill="F2F2F2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Средний минимум, °C</w:t>
            </w:r>
            <w:r/>
          </w:p>
        </w:tc>
        <w:tc>
          <w:tcPr>
            <w:tcW w:w="657" w:type="dxa"/>
            <w:tcBorders/>
            <w:shd w:color="auto" w:fill="80FFFF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12,3</w:t>
            </w:r>
            <w:r/>
          </w:p>
        </w:tc>
        <w:tc>
          <w:tcPr>
            <w:tcW w:w="559" w:type="dxa"/>
            <w:tcBorders/>
            <w:shd w:color="auto" w:fill="80FFFF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12,1</w:t>
            </w:r>
            <w:r/>
          </w:p>
        </w:tc>
        <w:tc>
          <w:tcPr>
            <w:tcW w:w="522" w:type="dxa"/>
            <w:tcBorders/>
            <w:shd w:color="auto" w:fill="80FFE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7,8</w:t>
            </w:r>
            <w:r/>
          </w:p>
        </w:tc>
        <w:tc>
          <w:tcPr>
            <w:tcW w:w="522" w:type="dxa"/>
            <w:tcBorders/>
            <w:shd w:color="auto" w:fill="8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1,1</w:t>
            </w:r>
            <w:r/>
          </w:p>
        </w:tc>
        <w:tc>
          <w:tcPr>
            <w:tcW w:w="522" w:type="dxa"/>
            <w:tcBorders/>
            <w:shd w:color="auto" w:fill="C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5,5</w:t>
            </w:r>
            <w:r/>
          </w:p>
        </w:tc>
        <w:tc>
          <w:tcPr>
            <w:tcW w:w="653" w:type="dxa"/>
            <w:tcBorders/>
            <w:shd w:color="auto" w:fill="FF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10,6</w:t>
            </w:r>
            <w:r/>
          </w:p>
        </w:tc>
        <w:tc>
          <w:tcPr>
            <w:tcW w:w="522" w:type="dxa"/>
            <w:tcBorders/>
            <w:shd w:color="auto" w:fill="FF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13,3</w:t>
            </w:r>
            <w:r/>
          </w:p>
        </w:tc>
        <w:tc>
          <w:tcPr>
            <w:tcW w:w="522" w:type="dxa"/>
            <w:tcBorders/>
            <w:shd w:color="auto" w:fill="FF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11,4</w:t>
            </w:r>
            <w:r/>
          </w:p>
        </w:tc>
        <w:tc>
          <w:tcPr>
            <w:tcW w:w="522" w:type="dxa"/>
            <w:tcBorders/>
            <w:shd w:color="auto" w:fill="C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6,8</w:t>
            </w:r>
            <w:r/>
          </w:p>
        </w:tc>
        <w:tc>
          <w:tcPr>
            <w:tcW w:w="522" w:type="dxa"/>
            <w:tcBorders/>
            <w:shd w:color="auto" w:fill="A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1,6</w:t>
            </w:r>
            <w:r/>
          </w:p>
        </w:tc>
        <w:tc>
          <w:tcPr>
            <w:tcW w:w="522" w:type="dxa"/>
            <w:tcBorders/>
            <w:shd w:color="auto" w:fill="80FFC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6</w:t>
            </w:r>
            <w:r/>
          </w:p>
        </w:tc>
        <w:tc>
          <w:tcPr>
            <w:tcW w:w="598" w:type="dxa"/>
            <w:tcBorders/>
            <w:shd w:color="auto" w:fill="80FFFF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−</w:t>
            </w:r>
            <w:r>
              <w:rPr>
                <w:rFonts w:eastAsia="Calibri" w:cs="Times New Roman" w:ascii="Times New Roman" w:hAnsi="Times New Roman"/>
                <w:b/>
                <w:bCs/>
              </w:rPr>
              <w:t>11,1</w:t>
            </w:r>
            <w:r/>
          </w:p>
        </w:tc>
        <w:tc>
          <w:tcPr>
            <w:tcW w:w="491" w:type="dxa"/>
            <w:tcBorders/>
            <w:shd w:color="auto" w:fill="80FF80" w:val="clear"/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</w:rPr>
              <w:t>0,0</w:t>
            </w:r>
            <w:r/>
          </w:p>
        </w:tc>
      </w:tr>
    </w:tbl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269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269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Близость Балтики, а также двух больших внутренних водоемов - Ладожского и Онежского озер сказываются избыточной влажностью - 700-850 мм осадков в год.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Участок находится вне зон затопления и сейсмоопасных зон.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Природные показатели территории в целом относятся к благоприятными.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center"/>
        <w:rPr>
          <w:sz w:val="24"/>
          <w:spacing w:val="1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1"/>
          <w:sz w:val="24"/>
          <w:szCs w:val="24"/>
          <w:lang w:eastAsia="ru-RU"/>
        </w:rPr>
        <w:t>1.2. Проект планировочной организации территории.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center"/>
        <w:rPr>
          <w:sz w:val="24"/>
          <w:spacing w:val="1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u w:val="single"/>
          <w:lang w:eastAsia="ru-RU"/>
        </w:rPr>
        <w:t>1.2.1. Планировочная структура и зонирование территории.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u w:val="single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Территория может рассматриваться развитием г. Тихвин в восточном направлении.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Планировочная структура учитывает конфигурацию участка, особенности геологического строения, рельеф, наличие внешних существующих и планируемых автотранспортных коммуникаций, а также предполагаемый демографический состав населения.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Проектируемая территория участка свободна от застройки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На территории планируется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 xml:space="preserve">организовать 158 земельных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участков для индивидуального жилищного строительства.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На участке планируется строительство зданий инфраструктуры – магазины, аптеки, дома быта и другие предприятия бытового обслуживания.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На участке планируется организовать территорию для размещения зеленых насаждений общего пользования – парки, скверы, объекты культурного отдыха населения.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На проектируемой территории планируется разместить </w:t>
      </w:r>
      <w:r>
        <w:rPr>
          <w:rFonts w:eastAsia="Times New Roman" w:cs="Times New Roman" w:ascii="Times New Roman" w:hAnsi="Times New Roman"/>
          <w:color w:val="FF0000"/>
          <w:spacing w:val="-1"/>
          <w:sz w:val="24"/>
          <w:szCs w:val="24"/>
          <w:lang w:eastAsia="ru-RU"/>
        </w:rPr>
        <w:t>3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пожарных водоемов.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Вся свободная от застройки и дорог территория предназначена для озеленения, размещения пешеходных зон.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ind w:left="708" w:hanging="0"/>
        <w:jc w:val="both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1.2.2 Транспортные и пешеходные коммуникации.</w:t>
      </w:r>
      <w:r/>
    </w:p>
    <w:p>
      <w:pPr>
        <w:pStyle w:val="Normal"/>
        <w:spacing w:lineRule="auto" w:line="240" w:before="0" w:after="0"/>
        <w:ind w:left="708" w:hanging="0"/>
        <w:jc w:val="both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Планировочная структура и транспортный скелет территории учитывает особенности расположения участка. Все транспортные потоки объединены в единую систему. 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Вдоль всех проектируемых улиц предусмотрены пешеходные дорожки (тротуары). Проходы ко всем зданиям, имеющие твердое покрытие, могут быть использованы для проезда пожарных машин.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Предложенная планировка позволяет осуществить удобный проезд ко всем участкам и учитывает возможное перспективное развитие территории.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соответствии с планировочным решением назначены основные типы дорог: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улица в населенном пункте (территория, предназначенная для движения транспорта и пешеходов, включая двухполосную проезжую часть, тротуары, зона озеленения, лотки для отвода воды).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tbl>
      <w:tblPr>
        <w:tblpPr w:bottomFromText="0" w:horzAnchor="margin" w:leftFromText="180" w:rightFromText="180" w:tblpX="0" w:tblpXSpec="" w:tblpY="344" w:tblpYSpec="" w:topFromText="0" w:vertAnchor="text"/>
        <w:tblW w:w="9355" w:type="dxa"/>
        <w:jc w:val="left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1335"/>
        <w:gridCol w:w="1337"/>
        <w:gridCol w:w="1334"/>
        <w:gridCol w:w="1337"/>
        <w:gridCol w:w="1335"/>
        <w:gridCol w:w="1337"/>
        <w:gridCol w:w="1339"/>
      </w:tblGrid>
      <w:tr>
        <w:trPr>
          <w:trHeight w:val="1205" w:hRule="exact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Категория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улиц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 дорог</w:t>
            </w:r>
            <w:r/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Ширина полосы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движения, м</w:t>
            </w:r>
            <w:r/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полос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движения</w:t>
            </w:r>
            <w:r/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8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Ширина 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тротуара, м</w:t>
            </w:r>
            <w:r/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Ширина лотка для отвода воды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, м</w:t>
            </w:r>
            <w:r/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pacing w:val="-2"/>
                <w:sz w:val="24"/>
                <w:szCs w:val="24"/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Ширина зоны озеленения, м</w:t>
            </w:r>
            <w:r/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Ширина в красных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линиях, м</w:t>
            </w:r>
            <w:r/>
          </w:p>
        </w:tc>
      </w:tr>
      <w:tr>
        <w:trPr>
          <w:trHeight w:val="877" w:hRule="exact"/>
        </w:trPr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  <w:vAlign w:val="center"/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Улица</w:t>
            </w:r>
            <w:r/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3,0</w:t>
            </w:r>
            <w:r/>
          </w:p>
        </w:tc>
        <w:tc>
          <w:tcPr>
            <w:tcW w:w="13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1,5</w:t>
            </w:r>
            <w:r/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-7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1,2</w:t>
            </w:r>
            <w:r/>
          </w:p>
        </w:tc>
        <w:tc>
          <w:tcPr>
            <w:tcW w:w="13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-7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-7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0,8-3</w:t>
            </w:r>
            <w:r/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-7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  <w:lang w:eastAsia="ru-RU"/>
              </w:rPr>
              <w:t>15,0</w:t>
            </w:r>
            <w:r/>
          </w:p>
        </w:tc>
      </w:tr>
    </w:tbl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pacing w:val="-2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Конструкция дорожной одежды принята капитальная, в соответствии с перспективной интенсивностью и рассчитана на движение большегрузного транспорта в период строительства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:</w:t>
      </w:r>
      <w:r/>
    </w:p>
    <w:p>
      <w:pPr>
        <w:pStyle w:val="Normal"/>
        <w:widowControl w:val="false"/>
        <w:numPr>
          <w:ilvl w:val="0"/>
          <w:numId w:val="2"/>
        </w:numPr>
        <w:shd w:val="clear" w:color="auto" w:themeColor="" w:themeTint="" w:themeShade="" w:fill="FFFFFF" w:themeFill="" w:themeFillTint="" w:themeFillShade=""/>
        <w:tabs>
          <w:tab w:val="left" w:pos="121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Горячий плотный мелкозернистый асфальтобетон тип Б, марки 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, по ГОСТ</w:t>
        <w:br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9128-97, толщиной слоя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en-US" w:eastAsia="ru-RU"/>
        </w:rPr>
        <w:t>h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-5 см;</w:t>
      </w:r>
      <w:r/>
    </w:p>
    <w:p>
      <w:pPr>
        <w:pStyle w:val="Normal"/>
        <w:widowControl w:val="false"/>
        <w:numPr>
          <w:ilvl w:val="0"/>
          <w:numId w:val="2"/>
        </w:numPr>
        <w:shd w:val="clear" w:color="auto" w:themeColor="" w:themeTint="" w:themeShade="" w:fill="FFFFFF" w:themeFill="" w:themeFillTint="" w:themeFillShade=""/>
        <w:tabs>
          <w:tab w:val="left" w:pos="121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Горячий плотный крупнозернистый асфальтобетон тип Б, марки 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en-US" w:eastAsia="ru-RU"/>
        </w:rPr>
        <w:t>I</w:t>
      </w: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, по ГОСТ</w:t>
        <w:br/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9128-97, толщиной слоя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en-US" w:eastAsia="ru-RU"/>
        </w:rPr>
        <w:t>h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-7 см;</w:t>
      </w:r>
      <w:r/>
    </w:p>
    <w:p>
      <w:pPr>
        <w:pStyle w:val="Normal"/>
        <w:widowControl w:val="false"/>
        <w:numPr>
          <w:ilvl w:val="0"/>
          <w:numId w:val="2"/>
        </w:numPr>
        <w:shd w:val="clear" w:color="auto" w:themeColor="" w:themeTint="" w:themeShade="" w:fill="FFFFFF" w:themeFill="" w:themeFillTint="" w:themeFillShade=""/>
        <w:tabs>
          <w:tab w:val="left" w:pos="121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Щебень фракции 40-70мм М 1000 уложенный по способу заклинки, толщи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ru-RU"/>
        </w:rPr>
        <w:t>ной слоя И-20см;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24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- Песок мелкий (Кф&gt;3.0 м/сут), по ГОСТ 8736 - 93, толщиной слоя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h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-40 см.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24" w:after="0"/>
        <w:jc w:val="both"/>
        <w:rPr>
          <w:sz w:val="24"/>
          <w:spacing w:val="-3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u w:val="single"/>
          <w:lang w:eastAsia="ru-RU"/>
        </w:rPr>
      </w:r>
      <w:r/>
    </w:p>
    <w:p>
      <w:pPr>
        <w:pStyle w:val="Normal"/>
        <w:spacing w:lineRule="auto" w:line="240" w:before="0" w:after="0"/>
        <w:ind w:left="708" w:hanging="0"/>
        <w:jc w:val="both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1.2.3.Озеленение и благоустройство.</w:t>
      </w:r>
      <w:r/>
    </w:p>
    <w:p>
      <w:pPr>
        <w:pStyle w:val="Normal"/>
        <w:spacing w:lineRule="auto" w:line="240" w:before="0" w:after="0"/>
        <w:ind w:left="708" w:hanging="0"/>
        <w:jc w:val="both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Проектом предусматривает благоустройство территории в объеме необходимом для обеспечения комфорта и безопасности.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Проектом предлагается организация участка (площадь 5825 м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)с зелеными насаждениями общего пользования – парки, скверы, фонтаны, места отдыха населения.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Проектом предлагается озеленение общественных зон, улиц и проездов в красных линиях путем устройства газонов, устройство травяного покрова.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Проектом рекомендуется твердое покрытие для всех улиц и тротуаров, для площадок перед зданиями.</w:t>
        <w:tab/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территории проектируемого участка также предусматривает выполнение следующих работ: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устройство системы открытого водоотвода с использованием проектируемых канав;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устройство и размещение малых архитектурных форм (например, урн для мусора);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размещение наглядной агитации по охране природы и оздоровлению территорий, установка текстовых аншлагов, указателей;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устройство сооружений наружного освещения (светильники устанавливаются на опорах вдоль автодорог, на территории общественной зоны);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планировка поверхности.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pacing w:val="-3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u w:val="single"/>
          <w:lang w:eastAsia="ru-RU"/>
        </w:rPr>
        <w:t>1.2.4. Организация рельефа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Площадку в целом можно охарактеризовать как относительно благоприятную для строительства с необходимыми мероприятиями по инженерной подготовке территории: подсыпке пониженных мест, организации отвода дождевых и талых вод.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u w:val="single"/>
          <w:lang w:eastAsia="ru-RU"/>
        </w:rPr>
        <w:t>Вертикальная планировка.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 xml:space="preserve">Схема вертикальной планировки и инженерной подготовки территории выполнена на топографической съёмке масштаба 1:500. выполненной в 2013 году. Система координат местная г. Тихвин.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Основными задачами вертикальной планировки являлись: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ab/>
        <w:t>организация стока поверхностных (дождевых и талых) вод с проектируемой территории;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ab/>
        <w:t>обеспечение допустимых уклонов улиц, перекрестков, тротуаров для безопасного и удобного движения транспорта и пешеходов;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ab/>
        <w:t>созданий благоприятных условий для размещения зданий.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 xml:space="preserve">Схема вертикальной планировки выполнена по улицам и проездам с максимальным приближением к существующему рельефу. Решения по вертикальной планировке даны на чертеже в виде отметок (проектных).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 xml:space="preserve">Проезжая часть улиц, имеет односкатный поперечный профиль, требующий уточнения на дальнейших стадиях проектирования. Поперечный уклон - 2%.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u w:val="single"/>
          <w:lang w:eastAsia="ru-RU"/>
        </w:rPr>
        <w:t>Водостоки.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Уклоны по улицам и рельефу достаточны для пропуска и сбора ливневого стока.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В настоящем проекте организация поверхностного водоотвода принята открытой. Открытые водостоки представляют собой придорожные канавы, собирающие поверхностный сток и отводящие его на рельеф за территорией улиц. в естественном направлении тока воды без предварительной очистки.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 xml:space="preserve">Запроектированная система водостоков проложена по проектируемым улицам и проездам по направлениям максимальных уклонов рельефа.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 xml:space="preserve">Ширина канавы по дну составляет 0.3м, глубина в начальной точке 0.4м, в конечной точке – 1.0м, заложение откосов 1:1.5. Размеры канав приняты в соответствии с требованиями пункта 2.43 СНиП 2.04.03-85 «Канализация. Наружные сети и сооружения». Укрепление дна и бортов канав производится в зависимости от уклона канавы по дну засевом травы или укладкой бетонных плит.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В состав подготовительных мероприятий, производимых до начала инженерной подготовки территории, входят: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ab/>
        <w:t xml:space="preserve">расчистка территории от кустарника;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•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ab/>
        <w:t>снятие растительного слоя грунта по трассам будущих улиц и проездов, с последующим хранением в строго отведенных местах, и использованием при благоустройстве территории.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Дорога запроектирована, так что сточные воды с дороги будут поступать в канавы по отводу воды, а из них непосредственно в пожарные водоемы.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Излишки грунта, полученные при устройстве дорожных корыт, могут быть использованы для подсыпки пониженных мест, благоустройства и укрепления прилегающих территорий.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FF0000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2. ТЕХНИКО-ЭКОНОМИЧЕСКАЯ ЧАСТЬ.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Площадь планируемого земельного участка – 23,06 га;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существующих земельных участков, которые находятся на учете в ГКН – 139359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проектируемых индивидуальных земельных участков – 164935,95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земель общего пользования (в «красных» линиях) – 202971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проектируемых автодорог, покрытых асфальтом – 81188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земель общего пользования (тротуары, газоны) – 121783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земельных участков отведенных для размещения пожарных водоемов и резервуара – 662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;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Площадь земельного участка проектируемого для размещения зеленых насаждений общего пользования – 5825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Все виды социально-бытового обслуживания обеспечиваются за счет предприятий, которые планируется разместить на земельном участке площадью 4000 м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, предусмотренный проектом для размещения учреждений бытового обслуживания населения.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>Часть планируемого участка находится в водоохраной зоне р. Тихвинка. Запроектированы охранные зоны ЛЭП и кабеля ОАО "Ростелеком" ВОЛС гл.1.0м.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</w:r>
      <w:r/>
    </w:p>
    <w:tbl>
      <w:tblPr>
        <w:tblStyle w:val="a4"/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6857"/>
        <w:gridCol w:w="1668"/>
      </w:tblGrid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 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Технико-экономические показатели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 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п/п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Наименование показателей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Площадь, м²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планируемого земельного участка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230600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существующих земельных участков, которые находятся на учете в ГКН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139359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проектируемых земельных участков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164935,95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земель общего пользования (в «красных» линиях)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202971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проектируемых автодорог, покрытых асфальтом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81188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земель общего пользования (тротуары, газоны)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121783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7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земельных участков отведенного под пожарные водоемы и резервуары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662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8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земельного участка отведенного для размещения зеленых насаждений общего пользования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5825</w:t>
            </w:r>
            <w:r/>
          </w:p>
        </w:tc>
      </w:tr>
      <w:tr>
        <w:trPr>
          <w:trHeight w:val="300" w:hRule="atLeast"/>
        </w:trPr>
        <w:tc>
          <w:tcPr>
            <w:tcW w:w="10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9</w:t>
            </w:r>
            <w:r/>
          </w:p>
        </w:tc>
        <w:tc>
          <w:tcPr>
            <w:tcW w:w="68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Площадь земельного участка для размещения учреждений бытового обслуживания населения</w:t>
            </w:r>
            <w:r/>
          </w:p>
        </w:tc>
        <w:tc>
          <w:tcPr>
            <w:tcW w:w="16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4000</w:t>
            </w:r>
            <w:r/>
          </w:p>
        </w:tc>
      </w:tr>
    </w:tbl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</w:r>
      <w:r/>
    </w:p>
    <w:tbl>
      <w:tblPr>
        <w:tblStyle w:val="a4"/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662"/>
        <w:gridCol w:w="1844"/>
      </w:tblGrid>
      <w:tr>
        <w:trPr>
          <w:trHeight w:val="300" w:hRule="atLeast"/>
        </w:trPr>
        <w:tc>
          <w:tcPr>
            <w:tcW w:w="960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ind w:firstLine="708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Экспликация проектируемых участков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 xml:space="preserve">№ </w:t>
            </w:r>
            <w:r>
              <w:rPr>
                <w:rFonts w:cs="Times New Roman" w:ascii="Times New Roman" w:hAnsi="Times New Roman"/>
                <w:lang w:eastAsia="ru-RU"/>
              </w:rPr>
              <w:t>п/п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center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Вид разрешенного использования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Площадь, м²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1254,13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958,07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1540,00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1539,09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959,00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39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1019,00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958,55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49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1018,60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828,07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1014,00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59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928,00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69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707,96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707,97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927,48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1013,99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1257,57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870,00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868,83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864,00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1260,00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928,00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778,00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778,40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928,01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1191,00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1191,60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449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1257,81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1048,46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1292,60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139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1200,00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1081,53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lang w:eastAsia="ru-RU"/>
              </w:rPr>
              <w:t>143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1287,52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148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149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150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151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152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153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1250,00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154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1250,00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155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1500,00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156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900,00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157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964,50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</w:pPr>
            <w:r>
              <w:rPr>
                <w:rFonts w:cs="Times New Roman" w:ascii="Times New Roman" w:hAnsi="Times New Roman"/>
                <w:lang w:eastAsia="ru-RU"/>
              </w:rPr>
              <w:t>15</w:t>
            </w:r>
            <w:r>
              <w:rPr>
                <w:rFonts w:cs="Times New Roman" w:ascii="Times New Roman" w:hAnsi="Times New Roman"/>
                <w:lang w:eastAsia="ru-RU"/>
              </w:rPr>
              <w:t>9</w:t>
            </w:r>
            <w:r/>
          </w:p>
        </w:tc>
        <w:tc>
          <w:tcPr>
            <w:tcW w:w="6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bookmarkStart w:id="0" w:name="__DdeLink__13637_1575677894"/>
            <w:bookmarkEnd w:id="0"/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 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1000,00</w:t>
            </w:r>
            <w:r/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160</w:t>
            </w:r>
            <w:r/>
          </w:p>
        </w:tc>
        <w:tc>
          <w:tcPr>
            <w:tcW w:w="6662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Индивидуальное жилищное строительство </w:t>
            </w:r>
            <w:r/>
          </w:p>
        </w:tc>
        <w:tc>
          <w:tcPr>
            <w:tcW w:w="1844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</w:pPr>
            <w:r>
              <w:rPr>
                <w:rFonts w:cs="Times New Roman" w:ascii="Times New Roman" w:hAnsi="Times New Roman"/>
                <w:lang w:eastAsia="ru-RU"/>
              </w:rPr>
              <w:t>1046,65</w:t>
            </w:r>
            <w:r/>
          </w:p>
        </w:tc>
      </w:tr>
      <w:tr>
        <w:trPr>
          <w:trHeight w:val="300" w:hRule="atLeast"/>
        </w:trPr>
        <w:tc>
          <w:tcPr>
            <w:tcW w:w="776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ind w:firstLine="708"/>
              <w:jc w:val="both"/>
              <w:rPr>
                <w:sz w:val="24"/>
                <w:spacing w:val="6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  <w:lang w:eastAsia="ru-RU"/>
              </w:rPr>
              <w:t>Итого:</w:t>
            </w:r>
            <w:r/>
          </w:p>
        </w:tc>
        <w:tc>
          <w:tcPr>
            <w:tcW w:w="1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164935,95</w:t>
            </w:r>
            <w:r/>
          </w:p>
        </w:tc>
      </w:tr>
    </w:tbl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-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3. ИНЖЕНЕРНЫЕ РЕШЕНИЯ.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-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  <w:t>3.1. Водоснабжение и канализация.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-3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3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u w:val="single"/>
          <w:lang w:eastAsia="ru-RU"/>
        </w:rPr>
        <w:t>Водоснабжение.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3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u w:val="single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u w:val="single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В качестве источников водоснабжения на основании письма МП «Водоканал» №62 от23.01.2014 г. Проектом предусматривается использование проектируемых в настоящие время сетей водопровода и канализации.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Расход воды на наружное пожаротушение принимается в соответствии со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 xml:space="preserve">СНиП 2.04.02-84 равным 5 л/с, требуемый объем воды принимается </w:t>
      </w:r>
      <w:r>
        <w:rPr>
          <w:rFonts w:eastAsia="Times New Roman" w:cs="Times New Roman" w:ascii="Times New Roman" w:hAnsi="Times New Roman"/>
          <w:spacing w:val="6"/>
          <w:sz w:val="24"/>
          <w:szCs w:val="24"/>
          <w:lang w:eastAsia="ru-RU"/>
        </w:rPr>
        <w:t xml:space="preserve">равным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>54 куб.м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. Для обеспечения требуемого объема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 xml:space="preserve">проектируется 3 пожарных водоемов. 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6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u w:val="single"/>
          <w:lang w:eastAsia="ru-RU"/>
        </w:rPr>
        <w:t>Канализация.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-6"/>
          <w:u w:val="single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u w:val="single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Отвод хозяйственно-бытовых сточных вод предлагается в герметичные выгребные емкости, располагаемые на каждом участке. Сточные воды поступают в пожарный водоем</w:t>
      </w:r>
      <w:r>
        <w:rPr>
          <w:rFonts w:eastAsia="Times New Roman" w:cs="Times New Roman" w:ascii="Times New Roman" w:hAnsi="Times New Roman"/>
          <w:spacing w:val="-7"/>
          <w:sz w:val="24"/>
          <w:szCs w:val="24"/>
          <w:lang w:eastAsia="ru-RU"/>
        </w:rPr>
        <w:t>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ru-RU"/>
        </w:rPr>
        <w:t>Отвод поверхностных стоков с полотна дорог предусмотрен по водоотвод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ным канавам и лоткам. Откосы и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>дно канав укрепляются.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center"/>
        <w:rPr>
          <w:sz w:val="24"/>
          <w:spacing w:val="-2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3.2. Отопление. Вентиляция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8" w:before="0" w:after="0"/>
        <w:jc w:val="center"/>
        <w:rPr>
          <w:sz w:val="24"/>
          <w:spacing w:val="-2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В качестве источника тепла предлагается универсальный отопительный котел, работающий как на твердом, так и на газообразном топливе. 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 системе отопления применяются стальные конверторы или стальные радиаторы. По требованию заказчика может быть предложена комбинированная система (отопительные приборы, + печное отопление).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Вентиляция кухонь, санузлов естественная, через вентиляционный блок.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pacing w:val="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3.3. Электроснабжение.</w:t>
      </w:r>
      <w:r/>
    </w:p>
    <w:p>
      <w:pPr>
        <w:pStyle w:val="Normal"/>
        <w:spacing w:lineRule="auto" w:line="240" w:before="0" w:after="0"/>
        <w:jc w:val="center"/>
        <w:rPr>
          <w:sz w:val="24"/>
          <w:spacing w:val="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Согласно письма ОАО «Ленинградская областная управляющая электросетевая компания» № 20-02/29 от 22.01.2014 г. электроснабжение территории будет выполняться от проектируемых ТП-10/0,4кВ, точка подключения: опора проектируемых ВЛИ-0,4 кВ.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Электроснабжение по степени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надежности относится к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en-US" w:eastAsia="ru-RU"/>
        </w:rPr>
        <w:t>III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 категории.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>Сети электроснабжения на территории предусмотрены воздушными линия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ми. На вводе в каждый дом устанавливается счетчик учета потребляемой элек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>троэнергии.</w:t>
      </w:r>
      <w:r/>
    </w:p>
    <w:p>
      <w:pPr>
        <w:pStyle w:val="Normal"/>
        <w:spacing w:lineRule="auto" w:line="240" w:before="0" w:after="0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 улицах и проездах территории предусмотрено наружное освещение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eastAsia="ru-RU"/>
        </w:rPr>
        <w:t xml:space="preserve">Укрупненные показатели электропотребления </w:t>
      </w: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eastAsia="ru-RU"/>
        </w:rPr>
        <w:t xml:space="preserve">(приняты в соответствии с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СНиП 2.07.01-89* прил.12) – 950 кВт на ч./год.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ind w:firstLine="708"/>
        <w:jc w:val="both"/>
        <w:rPr>
          <w:sz w:val="24"/>
          <w:spacing w:val="-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jc w:val="center"/>
        <w:rPr>
          <w:sz w:val="24"/>
          <w:spacing w:val="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3.4. Газоснабжение.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jc w:val="center"/>
        <w:rPr>
          <w:sz w:val="24"/>
          <w:spacing w:val="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ind w:firstLine="708"/>
        <w:jc w:val="both"/>
        <w:rPr>
          <w:sz w:val="24"/>
          <w:spacing w:val="-8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Для присоединения к газораспределительной сети распределительного газопровода необходимо получить ТУ</w:t>
      </w:r>
      <w:r>
        <w:rPr>
          <w:rFonts w:eastAsia="Times New Roman" w:cs="Times New Roman" w:ascii="Times New Roman" w:hAnsi="Times New Roman"/>
          <w:spacing w:val="-8"/>
          <w:sz w:val="24"/>
          <w:szCs w:val="24"/>
          <w:lang w:eastAsia="ru-RU"/>
        </w:rPr>
        <w:t>. Как сообщается в письме ОАО «Газпром газораспределение Ленинградская область», получение ТУ возможно после получения информации о планируемых к строительству объектов и потребность в газовом топливе на застройку.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ind w:firstLine="708"/>
        <w:jc w:val="both"/>
        <w:rPr>
          <w:sz w:val="24"/>
          <w:spacing w:val="-8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-8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ind w:firstLine="708"/>
        <w:jc w:val="both"/>
        <w:rPr>
          <w:sz w:val="24"/>
          <w:spacing w:val="-8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-8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ind w:firstLine="708"/>
        <w:jc w:val="both"/>
        <w:rPr>
          <w:sz w:val="24"/>
          <w:spacing w:val="-8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-8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jc w:val="center"/>
        <w:rPr>
          <w:sz w:val="24"/>
          <w:spacing w:val="-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3.5. Системы связи.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" w:after="0"/>
        <w:jc w:val="center"/>
        <w:rPr>
          <w:sz w:val="24"/>
          <w:spacing w:val="-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По территории планирования проложен кабель ОАО "Ростелеком" ВОЛС гл.1.0м. Предлагаю подключение телефонной сети от этого кабеля. Также на территории участка предусматриваются беспроводные системы оповещения по сигналам ГО и ЧС.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  <w:t>4. МЕРОПРИЯТИЯ ПО ПОЖАРНОЙ БЕЗОПАСНОСТИ.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center"/>
        <w:rPr>
          <w:sz w:val="24"/>
          <w:spacing w:val="1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0" w:after="0"/>
        <w:jc w:val="both"/>
        <w:rPr>
          <w:sz w:val="24"/>
          <w:spacing w:val="-23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1. Система запроектированных улиц обеспечивает доступ пожар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eastAsia="ru-RU"/>
        </w:rPr>
        <w:t>ных машин к любому зданию.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0" w:leader="none"/>
        </w:tabs>
        <w:spacing w:lineRule="exact" w:line="274" w:before="0" w:after="0"/>
        <w:jc w:val="both"/>
        <w:rPr>
          <w:sz w:val="24"/>
          <w:spacing w:val="-16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>2. В проекте учтены противопожарные разрывы между зданиями в соответ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ствии со степенью огнестойкости зданий.</w:t>
      </w:r>
      <w:r/>
    </w:p>
    <w:p>
      <w:pPr>
        <w:pStyle w:val="Normal"/>
        <w:spacing w:lineRule="auto" w:line="240" w:before="0" w:after="0"/>
        <w:jc w:val="both"/>
        <w:rPr>
          <w:sz w:val="2"/>
          <w:sz w:val="2"/>
          <w:szCs w:val="2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368" w:leader="none"/>
        </w:tabs>
        <w:spacing w:lineRule="exact" w:line="274" w:before="0" w:after="0"/>
        <w:jc w:val="both"/>
        <w:rPr>
          <w:sz w:val="24"/>
          <w:spacing w:val="-12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 При проектировании зданий будет предусмотрена их молниезащита.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0" w:leader="none"/>
        </w:tabs>
        <w:spacing w:lineRule="exact" w:line="274" w:before="0" w:after="0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4. Наружное пожаротушение (производительностью 5 л/сек, продолжи</w:t>
      </w: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eastAsia="ru-RU"/>
        </w:rPr>
        <w:t xml:space="preserve">тельностью 3 часа СП 31.13330.2012 Актуализированная редакция СНиП 2.04.02-84*, табл.6) </w:t>
      </w:r>
      <w:r>
        <w:rPr>
          <w:rFonts w:eastAsia="Times New Roman" w:cs="Times New Roman" w:ascii="Times New Roman" w:hAnsi="Times New Roman"/>
          <w:spacing w:val="3"/>
          <w:sz w:val="24"/>
          <w:szCs w:val="24"/>
          <w:lang w:eastAsia="ru-RU"/>
        </w:rPr>
        <w:t xml:space="preserve">предусматривается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 xml:space="preserve">3 пожарных водоемов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(радиус обслуживания не более 200 метров). В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 xml:space="preserve">одоемы имеют свободный подъезд пожарных машин </w:t>
      </w: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по дороге с твердым покрытием. У водоемов имеются разворотные площадки. На площадках и у резервуаров установлены указатели «ПВ».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0" w:leader="none"/>
        </w:tabs>
        <w:spacing w:lineRule="exact" w:line="274" w:before="0" w:after="0"/>
        <w:jc w:val="both"/>
        <w:rPr>
          <w:sz w:val="24"/>
          <w:spacing w:val="6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5. По всей территории предусмотрена ширина проезжей части равная 6 метров и улица шириной проезжей части 10 м, предназначенной для движения автотранспорта и общественного транспорта;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6"/>
          <w:sz w:val="24"/>
          <w:szCs w:val="24"/>
          <w:lang w:eastAsia="ru-RU"/>
        </w:rPr>
        <w:t>6. Все применяемые при строительстве материалы должны иметь сертификаты соответствия требованиям норм противопожарной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безопасности.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0" w:leader="none"/>
        </w:tabs>
        <w:spacing w:lineRule="exact" w:line="274" w:before="0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Минимальные противопожарные расстояния между крайними строения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ми и группами строений на земельных участках.</w:t>
      </w:r>
      <w:r/>
    </w:p>
    <w:p>
      <w:pPr>
        <w:pStyle w:val="Normal"/>
        <w:spacing w:lineRule="exact" w:line="1" w:before="0" w:after="259"/>
        <w:jc w:val="both"/>
        <w:rPr>
          <w:sz w:val="2"/>
          <w:sz w:val="2"/>
          <w:szCs w:val="2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"/>
          <w:szCs w:val="2"/>
          <w:lang w:eastAsia="ru-RU"/>
        </w:rPr>
      </w:r>
      <w:r/>
    </w:p>
    <w:tbl>
      <w:tblPr>
        <w:tblW w:w="10143" w:type="dxa"/>
        <w:jc w:val="left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7019"/>
        <w:gridCol w:w="1034"/>
        <w:gridCol w:w="1034"/>
        <w:gridCol w:w="1055"/>
      </w:tblGrid>
      <w:tr>
        <w:trPr>
          <w:trHeight w:val="367" w:hRule="exact"/>
        </w:trPr>
        <w:tc>
          <w:tcPr>
            <w:tcW w:w="70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8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Материал несущих и ограждающих конструкций строе</w:t>
            </w:r>
            <w:r>
              <w:rPr>
                <w:rFonts w:eastAsia="Times New Roman" w:cs="Times New Roman" w:ascii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ния</w:t>
            </w:r>
            <w:r/>
          </w:p>
        </w:tc>
        <w:tc>
          <w:tcPr>
            <w:tcW w:w="31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Расстояния, м</w:t>
            </w:r>
            <w:r/>
          </w:p>
        </w:tc>
      </w:tr>
      <w:tr>
        <w:trPr>
          <w:trHeight w:val="337" w:hRule="exact"/>
        </w:trPr>
        <w:tc>
          <w:tcPr>
            <w:tcW w:w="7019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/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/>
          </w:p>
        </w:tc>
      </w:tr>
      <w:tr>
        <w:trPr>
          <w:trHeight w:val="897" w:hRule="exact"/>
        </w:trPr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8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Камень, бетон, железобетон и другие негорючие мате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риалы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/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/>
          </w:p>
        </w:tc>
      </w:tr>
      <w:tr>
        <w:trPr>
          <w:trHeight w:val="887" w:hRule="exact"/>
        </w:trPr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8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То же, с деревянными перекрытиями и покрытиями,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защищенными трудногорючими материалами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/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/>
          </w:p>
        </w:tc>
      </w:tr>
      <w:tr>
        <w:trPr>
          <w:trHeight w:val="926" w:hRule="exact"/>
        </w:trPr>
        <w:tc>
          <w:tcPr>
            <w:tcW w:w="7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74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Древесина, каркасные ограждающие конструкции из негорючих, трудногорючих и горючих материалов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/>
          </w:p>
        </w:tc>
        <w:tc>
          <w:tcPr>
            <w:tcW w:w="10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/>
          </w:p>
        </w:tc>
        <w:tc>
          <w:tcPr>
            <w:tcW w:w="1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/>
          </w:p>
        </w:tc>
      </w:tr>
    </w:tbl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533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533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533" w:after="0"/>
        <w:jc w:val="center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533" w:after="0"/>
        <w:jc w:val="center"/>
        <w:rPr>
          <w:sz w:val="24"/>
          <w:spacing w:val="-2"/>
          <w:b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5. МЕРОПРИЯТИЯ ПО ОХРАНЕ ОКРУЖАЮЩЕЙ СРЕДЫ И ОЧИСТКА 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>ТЕРРИТОРИИ.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533" w:after="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ind w:firstLine="708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проектировании предусматриваются следующие мероприятия по охране окружающей среды и ландшафта: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1. Индивидуальные дома запроектированы с учетом санитарных разрывов и обеспечения оптимальной инсоляции.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291" w:leader="none"/>
          <w:tab w:val="left" w:pos="8462" w:leader="none"/>
        </w:tabs>
        <w:spacing w:lineRule="exact" w:line="274" w:before="0" w:after="0"/>
        <w:jc w:val="both"/>
        <w:rPr>
          <w:sz w:val="24"/>
          <w:spacing w:val="1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2. Улицы и проезды запроектированы с твердым покрытием. Предусматривается устройство тротуаров.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291" w:leader="none"/>
        </w:tabs>
        <w:spacing w:lineRule="exact" w:line="274" w:before="0" w:after="0"/>
        <w:jc w:val="both"/>
        <w:rPr>
          <w:sz w:val="24"/>
          <w:spacing w:val="-12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>3. Обеспечивается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 xml:space="preserve"> поверхностный водоотвод.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291" w:leader="none"/>
        </w:tabs>
        <w:spacing w:lineRule="exact" w:line="274" w:before="0" w:after="0"/>
        <w:jc w:val="both"/>
        <w:rPr>
          <w:sz w:val="24"/>
          <w:spacing w:val="-16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4. Для отвода ливневых стоков с автодорог и хозяйственных площадок предусмот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>рены уклоны дорог в сторону водоотводных канав.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291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 Озеленение территории осуществляется посредством устройства газонов и </w:t>
      </w:r>
      <w:r>
        <w:rPr>
          <w:rFonts w:eastAsia="Times New Roman" w:cs="Times New Roman" w:ascii="Times New Roman" w:hAnsi="Times New Roman"/>
          <w:spacing w:val="2"/>
          <w:sz w:val="24"/>
          <w:szCs w:val="24"/>
          <w:lang w:eastAsia="ru-RU"/>
        </w:rPr>
        <w:t>посадки деревьев и кустарников вдоль улиц и дорог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.</w:t>
      </w:r>
      <w:r/>
    </w:p>
    <w:p>
      <w:pPr>
        <w:pStyle w:val="ListParagraph"/>
        <w:widowControl w:val="false"/>
        <w:shd w:val="clear" w:color="auto" w:themeColor="" w:themeTint="" w:themeShade="" w:fill="FFFFFF" w:themeFill="" w:themeFillTint="" w:themeFillShade=""/>
        <w:tabs>
          <w:tab w:val="left" w:pos="2078" w:leader="none"/>
        </w:tabs>
        <w:spacing w:lineRule="exact" w:line="274" w:before="0" w:after="0"/>
        <w:ind w:left="0" w:hanging="0"/>
        <w:contextualSpacing/>
        <w:jc w:val="both"/>
        <w:rPr>
          <w:sz w:val="24"/>
          <w:spacing w:val="-19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4"/>
          <w:sz w:val="24"/>
          <w:szCs w:val="24"/>
          <w:lang w:eastAsia="ru-RU"/>
        </w:rPr>
        <w:t xml:space="preserve">6. Вертикальная планировка выполнена с учетом максимально возможного </w:t>
      </w:r>
      <w:r>
        <w:rPr>
          <w:rFonts w:eastAsia="Times New Roman" w:cs="Times New Roman" w:ascii="Times New Roman" w:hAnsi="Times New Roman"/>
          <w:spacing w:val="-1"/>
          <w:sz w:val="24"/>
          <w:szCs w:val="24"/>
          <w:lang w:eastAsia="ru-RU"/>
        </w:rPr>
        <w:t>сохранения существующего рельефа.</w:t>
      </w:r>
      <w:r/>
    </w:p>
    <w:p>
      <w:pPr>
        <w:pStyle w:val="ListParagraph"/>
        <w:shd w:val="clear" w:color="auto" w:themeColor="" w:themeTint="" w:themeShade="" w:fill="FFFFFF" w:themeFill="" w:themeFillTint="" w:themeFillShade=""/>
        <w:tabs>
          <w:tab w:val="left" w:pos="2179" w:leader="none"/>
        </w:tabs>
        <w:spacing w:lineRule="exact" w:line="274" w:before="0" w:after="0"/>
        <w:ind w:left="0" w:hanging="0"/>
        <w:contextualSpacing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7. Утилизация основной части отходов происходит непосредственно на уча</w:t>
      </w:r>
      <w:r>
        <w:rPr>
          <w:rFonts w:eastAsia="Times New Roman" w:cs="Times New Roman" w:ascii="Times New Roman" w:hAnsi="Times New Roman"/>
          <w:spacing w:val="-5"/>
          <w:sz w:val="24"/>
          <w:szCs w:val="24"/>
          <w:lang w:eastAsia="ru-RU"/>
        </w:rPr>
        <w:t xml:space="preserve">стках. </w:t>
      </w:r>
      <w:r>
        <w:rPr>
          <w:rFonts w:eastAsia="Times New Roman" w:cs="Times New Roman" w:ascii="Times New Roman" w:hAnsi="Times New Roman"/>
          <w:spacing w:val="-2"/>
          <w:sz w:val="24"/>
          <w:szCs w:val="24"/>
          <w:lang w:eastAsia="ru-RU"/>
        </w:rPr>
        <w:t>Отходы пакетируются и вывозятся жителями самостоятельно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07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FF0000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07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FF0000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070" w:leader="none"/>
        </w:tabs>
        <w:spacing w:lineRule="exact" w:line="274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spacing w:val="-3"/>
          <w:sz w:val="24"/>
          <w:szCs w:val="24"/>
          <w:rFonts w:ascii="Times New Roman" w:hAnsi="Times New Roman" w:eastAsia="Times New Roman" w:cs="Times New Roman"/>
          <w:color w:val="000000"/>
          <w:lang w:eastAsia="ru-RU"/>
        </w:rPr>
      </w:pPr>
      <w:bookmarkStart w:id="1" w:name="_GoBack"/>
      <w:bookmarkStart w:id="2" w:name="_GoBack"/>
      <w:bookmarkEnd w:id="2"/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exact" w:line="274" w:before="547" w:after="552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Настоящий Проект планировочной организации территории разработан в соответствии с тре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eastAsia="ru-RU"/>
        </w:rPr>
        <w:t xml:space="preserve">бованиями градостроительного кодекса и других законодательных актов, с учетом действующих нормативов, инструкций, стандартов в области градостроительной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>документации.</w:t>
      </w:r>
      <w:r/>
    </w:p>
    <w:p>
      <w:pPr>
        <w:pStyle w:val="Normal"/>
        <w:shd w:val="clear" w:color="auto" w:themeColor="" w:themeTint="" w:themeShade="" w:fill="FFFFFF" w:themeFill="" w:themeFillTint="" w:themeFillShade="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ru-RU"/>
        </w:rPr>
        <w:t xml:space="preserve">Главный инженер проекта                                </w:t>
      </w:r>
      <w:r/>
    </w:p>
    <w:p>
      <w:pPr>
        <w:pStyle w:val="Normal"/>
        <w:widowControl w:val="false"/>
        <w:shd w:val="clear" w:color="auto" w:themeColor="" w:themeTint="" w:themeShade="" w:fill="FFFFFF" w:themeFill="" w:themeFillTint="" w:themeFillShade=""/>
        <w:tabs>
          <w:tab w:val="left" w:pos="1070" w:leader="none"/>
        </w:tabs>
        <w:spacing w:lineRule="exact" w:line="274" w:before="0" w:after="0"/>
        <w:jc w:val="both"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lang w:eastAsia="ru-RU"/>
        </w:rPr>
        <w:t>«      » ______________ 2014г.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360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Aria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d75cf"/>
    <w:pPr>
      <w:spacing w:before="0" w:after="120"/>
      <w:ind w:left="720" w:hanging="0"/>
      <w:contextualSpacing/>
    </w:pPr>
    <w:rPr/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e01c4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ryshnikovphotography.com/bertewor/&#1059;&#1084;&#1077;&#1088;&#1077;&#1085;&#1085;&#1086;_&#1082;&#1086;&#1085;&#1090;&#1080;&#1085;&#1077;&#1085;&#1090;&#1072;&#1083;&#1100;&#1085;&#1099;&#1081;_&#1082;&#1083;&#1080;&#1084;&#1072;&#1090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Application>LibreOffice/4.3.1.2$Windows_x86 LibreOffice_project/958349dc3b25111dbca392fbc281a05559ef6848</Application>
  <Paragraphs>760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2014-04-22T07:31:00Z</dcterms:created>
  <dc:creator>Юрий</dc:creator>
  <dc:language>ru-RU</dc:language>
  <cp:lastPrinted>2014-07-08T09:38:00Z</cp:lastPrinted>
  <dcterms:modified xsi:type="dcterms:W3CDTF">2014-11-28T09:09:58Z</dcterms:modified>
  <cp:revision>27</cp:revision>
</cp:coreProperties>
</file>