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УТВЕРЖДЕНО</w:t>
      </w: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Главный архитектор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«______»___________2014г.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Проект</w:t>
      </w:r>
      <w:r w:rsidRPr="00B94EE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планировки</w:t>
      </w:r>
      <w:r w:rsidRPr="00B94EE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территории для индивидуального жилищного строительства деревни Новый Погорелец Тихвинского городского поселения Тихвинского муниципального района Ленинградской области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73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УТВЕРЖДЕНО</w:t>
      </w: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Заказчик: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sz w:val="28"/>
          <w:szCs w:val="28"/>
          <w:lang w:eastAsia="ru-RU"/>
        </w:rPr>
        <w:t>Администрация Тихвинского городского поселения</w:t>
      </w: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Тихвинский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B94EE5">
        <w:rPr>
          <w:rFonts w:ascii="Times New Roman" w:hAnsi="Times New Roman" w:cs="Times New Roman"/>
          <w:sz w:val="28"/>
          <w:szCs w:val="28"/>
          <w:lang w:eastAsia="ru-RU"/>
        </w:rPr>
        <w:t>район, Тихвинское городское поселение, деревня Новый Погорелец.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94EE5">
        <w:rPr>
          <w:rFonts w:ascii="Times New Roman" w:hAnsi="Times New Roman" w:cs="Times New Roman"/>
          <w:sz w:val="32"/>
          <w:szCs w:val="32"/>
          <w:lang w:eastAsia="ru-RU"/>
        </w:rPr>
        <w:t>Пояснительная записка – ПЗ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Исполнитель:  ООО"АрмРус"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2014г.</w:t>
      </w: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04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:rsidR="006A739D" w:rsidRPr="00B94EE5" w:rsidRDefault="006A739D" w:rsidP="00B94EE5">
      <w:pPr>
        <w:spacing w:after="0" w:line="240" w:lineRule="auto"/>
        <w:ind w:firstLine="97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A739D" w:rsidRPr="00B94EE5" w:rsidRDefault="006A739D" w:rsidP="00B0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6A739D" w:rsidRPr="00B94EE5" w:rsidRDefault="006A739D" w:rsidP="00B94EE5">
      <w:pPr>
        <w:spacing w:after="0" w:line="240" w:lineRule="auto"/>
        <w:ind w:firstLine="97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АРХИТЕКТУРНО-ПЛАНИРОВОЧНАЯ ЧАСТЬ.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1.1 Местоположение, природные условия и характеристика территории участка;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B94EE5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планировочной организации территории.</w:t>
      </w:r>
    </w:p>
    <w:p w:rsidR="006A739D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2E06">
        <w:rPr>
          <w:rFonts w:ascii="Times New Roman" w:hAnsi="Times New Roman" w:cs="Times New Roman"/>
          <w:sz w:val="28"/>
          <w:szCs w:val="28"/>
          <w:lang w:eastAsia="ru-RU"/>
        </w:rPr>
        <w:t>1.2.1. Планировочная структура и зонирование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1.2.2. Транспортные и пешеходные коммуникации.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1.2.3. Озеленение и благоустройство.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1.2.4. Организация рельефа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2B6D61" w:rsidRDefault="006A739D" w:rsidP="002B6D6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ТЕХНИКО-ЭКОНОМИЧЕСКАЯ ЧАСТЬ.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ИНЖЕНЕРНЫЕ РЕШЕНИЯ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Водоснабжение и канализация.</w:t>
      </w:r>
    </w:p>
    <w:p w:rsidR="006A739D" w:rsidRPr="00B94EE5" w:rsidRDefault="006A739D" w:rsidP="00B94EE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Отопление. Вентиляция.</w:t>
      </w:r>
    </w:p>
    <w:p w:rsidR="006A739D" w:rsidRPr="00B94EE5" w:rsidRDefault="006A739D" w:rsidP="00B94EE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Электроснабжение.</w:t>
      </w:r>
    </w:p>
    <w:p w:rsidR="006A739D" w:rsidRPr="00B94EE5" w:rsidRDefault="006A739D" w:rsidP="00B94EE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Газоснабжение.</w:t>
      </w:r>
    </w:p>
    <w:p w:rsidR="006A739D" w:rsidRPr="00B94EE5" w:rsidRDefault="006A739D" w:rsidP="00B94EE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sz w:val="28"/>
          <w:szCs w:val="28"/>
          <w:lang w:eastAsia="ru-RU"/>
        </w:rPr>
        <w:t>Система связи.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 ПО ОБЕСПЕЧЕНИЮ ПОЖАРНОЙ БЕЗОПАСНОСТИ.</w:t>
      </w: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39D" w:rsidRPr="00B94EE5" w:rsidRDefault="006A739D" w:rsidP="00B94EE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4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 ПО ОХРАНЕ ОКРУЖАЮЩЕЙ СРЕДЫ И ОЧИСТКА ТЕРРИТОРИИ.</w:t>
      </w: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Pr="00B94EE5" w:rsidRDefault="006A739D" w:rsidP="00B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39D" w:rsidRDefault="006A739D" w:rsidP="00F42708">
      <w:pPr>
        <w:pStyle w:val="ListParagraph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АРХИТЕКТУРНО-ПЛАНИРОВОЧНАЯ ЧАСТЬ</w:t>
      </w:r>
    </w:p>
    <w:p w:rsidR="006A739D" w:rsidRPr="00F42708" w:rsidRDefault="006A739D" w:rsidP="002B6D6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739D" w:rsidRDefault="006A739D" w:rsidP="00F42708">
      <w:pPr>
        <w:pStyle w:val="ListParagraph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Местоположение, природные условия и характеристика территории участка</w:t>
      </w:r>
    </w:p>
    <w:p w:rsidR="006A739D" w:rsidRPr="00F42708" w:rsidRDefault="006A739D" w:rsidP="002B6D6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участка, предлагаемого для планировки площадью </w:t>
      </w:r>
      <w:r w:rsidRPr="00EE70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94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га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, расположена по адресу: Ленинградская область, Тихвинский район, Тихвинское городское поселение, деревня Новый Погорелец.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Территория относится к функциональной зоне Ж-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– зона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населенных пунктов, входящих в состав Тихвинского городского поселения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Территория проектируемого участка ограничена:</w:t>
      </w: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с юго-востока – землями Администрации муниципального образования Тихвинское городское поселение Тихвинского муниципального района Ленинградской области;</w:t>
      </w: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с юго-запада – землями Администрации муниципального образования Тихвинское городское поселение Тихвинского муниципального района Ленинградской области;</w:t>
      </w: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с северо-востока – землями Администрации муниципального образования Тихвинское городское поселение Тихвинского муниципального района Ленинградской области;</w:t>
      </w: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с северо-запада – землями частной застройки с Новый Погорелец.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Проектируемая территория в названных границах представляет собой участок сложной формы.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На территорию возможен въезд с ул. Береговая.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На проектируемой территории участка расположены индивидуальные участки застроенные индивидуальными жилыми домами и хозяйственными постройками.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Инженерные сети на участке представлены ЛЭП </w:t>
      </w:r>
      <w:r w:rsidRPr="00C82477">
        <w:rPr>
          <w:rFonts w:ascii="Times New Roman" w:hAnsi="Times New Roman" w:cs="Times New Roman"/>
          <w:sz w:val="24"/>
          <w:szCs w:val="24"/>
          <w:lang w:eastAsia="ru-RU"/>
        </w:rPr>
        <w:t>0,4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кВ. 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растительность луговая, имеются отдельные участки с лиственными и хвойными деревьями. 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Рельеф участка спокойный, с понижением </w:t>
      </w:r>
      <w:r w:rsidRPr="00C82477">
        <w:rPr>
          <w:rFonts w:ascii="Times New Roman" w:hAnsi="Times New Roman" w:cs="Times New Roman"/>
          <w:sz w:val="24"/>
          <w:szCs w:val="24"/>
          <w:lang w:eastAsia="ru-RU"/>
        </w:rPr>
        <w:t>в юго-восточной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части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82477">
        <w:rPr>
          <w:rFonts w:ascii="Times New Roman" w:hAnsi="Times New Roman" w:cs="Times New Roman"/>
          <w:sz w:val="24"/>
          <w:szCs w:val="24"/>
          <w:lang w:eastAsia="ru-RU"/>
        </w:rPr>
        <w:t xml:space="preserve"> где образуется пожарный водоем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. Перепад высот от </w:t>
      </w:r>
      <w:r w:rsidRPr="00C82477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Pr="00C82477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м.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Вся территория планируемого участка находится в водоохранной зоне р. Тихвинка. На территории участка находится одиночное захоронение времен ВОВ.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Памятники архитектуры отсутствуют. </w:t>
      </w:r>
    </w:p>
    <w:p w:rsidR="006A739D" w:rsidRPr="00B94EE5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Территория относится к Балтийско-Лад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ожскому округу южно-таежной под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провинции Северо-Западной ландшафтной области, к зоне избыточного увлажне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ния. Климат характеризуется как переходный от континентального к морскому, с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умеренно теплым, влажным летом и продолжительной холодной зимой.</w:t>
      </w:r>
    </w:p>
    <w:p w:rsidR="006A739D" w:rsidRPr="00B94EE5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Климат </w:t>
      </w:r>
      <w:hyperlink r:id="rId5" w:tooltip="Умеренно континентальный климат" w:history="1">
        <w:r w:rsidRPr="00B94EE5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умеренно континентальный климат</w:t>
        </w:r>
      </w:hyperlink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Из-за более восточного положения средняя температура января ниже, чем в Петербурге, почти на два градуса.</w:t>
      </w:r>
    </w:p>
    <w:p w:rsidR="006A739D" w:rsidRPr="00B94EE5" w:rsidRDefault="006A739D" w:rsidP="00F42708">
      <w:pPr>
        <w:shd w:val="clear" w:color="auto" w:fill="FFFFFF"/>
        <w:tabs>
          <w:tab w:val="num" w:pos="72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Среднегодовая температура воздуха — 3,8 °C</w:t>
      </w:r>
    </w:p>
    <w:p w:rsidR="006A739D" w:rsidRPr="00B94EE5" w:rsidRDefault="006A739D" w:rsidP="00F42708">
      <w:pPr>
        <w:shd w:val="clear" w:color="auto" w:fill="FFFFFF"/>
        <w:tabs>
          <w:tab w:val="num" w:pos="72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Средняя скорость ветра — 3,0 м/с</w:t>
      </w:r>
    </w:p>
    <w:tbl>
      <w:tblPr>
        <w:tblpPr w:leftFromText="180" w:rightFromText="180" w:vertAnchor="text" w:horzAnchor="margin" w:tblpY="702"/>
        <w:tblOverlap w:val="never"/>
        <w:tblW w:w="101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10"/>
        <w:gridCol w:w="713"/>
        <w:gridCol w:w="713"/>
        <w:gridCol w:w="608"/>
        <w:gridCol w:w="571"/>
        <w:gridCol w:w="614"/>
        <w:gridCol w:w="622"/>
        <w:gridCol w:w="616"/>
        <w:gridCol w:w="573"/>
        <w:gridCol w:w="573"/>
        <w:gridCol w:w="512"/>
        <w:gridCol w:w="571"/>
        <w:gridCol w:w="529"/>
        <w:gridCol w:w="523"/>
      </w:tblGrid>
      <w:tr w:rsidR="006A739D" w:rsidRPr="00C91A9A">
        <w:trPr>
          <w:trHeight w:val="469"/>
          <w:tblCellSpacing w:w="15" w:type="dxa"/>
        </w:trPr>
        <w:tc>
          <w:tcPr>
            <w:tcW w:w="10088" w:type="dxa"/>
            <w:gridSpan w:val="14"/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39D" w:rsidRPr="00C91A9A">
        <w:trPr>
          <w:trHeight w:val="484"/>
          <w:tblCellSpacing w:w="15" w:type="dxa"/>
        </w:trPr>
        <w:tc>
          <w:tcPr>
            <w:tcW w:w="2365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683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Янв</w:t>
            </w:r>
          </w:p>
        </w:tc>
        <w:tc>
          <w:tcPr>
            <w:tcW w:w="683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Фев</w:t>
            </w:r>
          </w:p>
        </w:tc>
        <w:tc>
          <w:tcPr>
            <w:tcW w:w="578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Мар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Апр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92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Июн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Июл</w:t>
            </w:r>
          </w:p>
        </w:tc>
        <w:tc>
          <w:tcPr>
            <w:tcW w:w="543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Авг</w:t>
            </w:r>
          </w:p>
        </w:tc>
        <w:tc>
          <w:tcPr>
            <w:tcW w:w="543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Сен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Окт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Ноя</w:t>
            </w:r>
          </w:p>
        </w:tc>
        <w:tc>
          <w:tcPr>
            <w:tcW w:w="499" w:type="dxa"/>
            <w:tcBorders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Дек</w:t>
            </w:r>
          </w:p>
        </w:tc>
        <w:tc>
          <w:tcPr>
            <w:tcW w:w="478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6A739D" w:rsidRPr="00C91A9A">
        <w:trPr>
          <w:trHeight w:val="484"/>
          <w:tblCellSpacing w:w="15" w:type="dxa"/>
        </w:trPr>
        <w:tc>
          <w:tcPr>
            <w:tcW w:w="2365" w:type="dxa"/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Средний максимум, °C</w:t>
            </w:r>
          </w:p>
        </w:tc>
        <w:tc>
          <w:tcPr>
            <w:tcW w:w="683" w:type="dxa"/>
            <w:shd w:val="clear" w:color="auto" w:fill="80FFC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−5,8</w:t>
            </w:r>
          </w:p>
        </w:tc>
        <w:tc>
          <w:tcPr>
            <w:tcW w:w="683" w:type="dxa"/>
            <w:shd w:val="clear" w:color="auto" w:fill="80FFC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−5,1</w:t>
            </w:r>
          </w:p>
        </w:tc>
        <w:tc>
          <w:tcPr>
            <w:tcW w:w="578" w:type="dxa"/>
            <w:shd w:val="clear" w:color="auto" w:fill="8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541" w:type="dxa"/>
            <w:shd w:val="clear" w:color="auto" w:fill="E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584" w:type="dxa"/>
            <w:shd w:val="clear" w:color="auto" w:fill="FFF06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592" w:type="dxa"/>
            <w:shd w:val="clear" w:color="auto" w:fill="FFD02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19,6</w:t>
            </w:r>
          </w:p>
        </w:tc>
        <w:tc>
          <w:tcPr>
            <w:tcW w:w="586" w:type="dxa"/>
            <w:shd w:val="clear" w:color="auto" w:fill="FFD02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21,8</w:t>
            </w:r>
          </w:p>
        </w:tc>
        <w:tc>
          <w:tcPr>
            <w:tcW w:w="543" w:type="dxa"/>
            <w:shd w:val="clear" w:color="auto" w:fill="FFE04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543" w:type="dxa"/>
            <w:shd w:val="clear" w:color="auto" w:fill="FF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482" w:type="dxa"/>
            <w:shd w:val="clear" w:color="auto" w:fill="C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6,4</w:t>
            </w:r>
          </w:p>
        </w:tc>
        <w:tc>
          <w:tcPr>
            <w:tcW w:w="541" w:type="dxa"/>
            <w:shd w:val="clear" w:color="auto" w:fill="8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−1,2</w:t>
            </w:r>
          </w:p>
        </w:tc>
        <w:tc>
          <w:tcPr>
            <w:tcW w:w="499" w:type="dxa"/>
            <w:shd w:val="clear" w:color="auto" w:fill="80FFC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−4,9</w:t>
            </w:r>
          </w:p>
        </w:tc>
        <w:tc>
          <w:tcPr>
            <w:tcW w:w="478" w:type="dxa"/>
            <w:tcBorders>
              <w:left w:val="nil"/>
            </w:tcBorders>
            <w:shd w:val="clear" w:color="auto" w:fill="C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</w:tr>
      <w:tr w:rsidR="006A739D" w:rsidRPr="00C91A9A">
        <w:trPr>
          <w:trHeight w:val="763"/>
          <w:tblCellSpacing w:w="15" w:type="dxa"/>
        </w:trPr>
        <w:tc>
          <w:tcPr>
            <w:tcW w:w="2365" w:type="dxa"/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Средняя температура, °C</w:t>
            </w:r>
          </w:p>
        </w:tc>
        <w:tc>
          <w:tcPr>
            <w:tcW w:w="683" w:type="dxa"/>
            <w:shd w:val="clear" w:color="auto" w:fill="80FFE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−8,9</w:t>
            </w:r>
          </w:p>
        </w:tc>
        <w:tc>
          <w:tcPr>
            <w:tcW w:w="683" w:type="dxa"/>
            <w:shd w:val="clear" w:color="auto" w:fill="80FFE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−8,4</w:t>
            </w:r>
          </w:p>
        </w:tc>
        <w:tc>
          <w:tcPr>
            <w:tcW w:w="578" w:type="dxa"/>
            <w:shd w:val="clear" w:color="auto" w:fill="80FFA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−3,6</w:t>
            </w:r>
          </w:p>
        </w:tc>
        <w:tc>
          <w:tcPr>
            <w:tcW w:w="541" w:type="dxa"/>
            <w:shd w:val="clear" w:color="auto" w:fill="A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584" w:type="dxa"/>
            <w:shd w:val="clear" w:color="auto" w:fill="FF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592" w:type="dxa"/>
            <w:shd w:val="clear" w:color="auto" w:fill="FFF06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586" w:type="dxa"/>
            <w:shd w:val="clear" w:color="auto" w:fill="FFE04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543" w:type="dxa"/>
            <w:shd w:val="clear" w:color="auto" w:fill="FFF06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543" w:type="dxa"/>
            <w:shd w:val="clear" w:color="auto" w:fill="E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82" w:type="dxa"/>
            <w:shd w:val="clear" w:color="auto" w:fill="A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541" w:type="dxa"/>
            <w:shd w:val="clear" w:color="auto" w:fill="80FFA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−3,4</w:t>
            </w:r>
          </w:p>
        </w:tc>
        <w:tc>
          <w:tcPr>
            <w:tcW w:w="499" w:type="dxa"/>
            <w:shd w:val="clear" w:color="auto" w:fill="80FFE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−7,9</w:t>
            </w:r>
          </w:p>
        </w:tc>
        <w:tc>
          <w:tcPr>
            <w:tcW w:w="478" w:type="dxa"/>
            <w:tcBorders>
              <w:left w:val="nil"/>
            </w:tcBorders>
            <w:shd w:val="clear" w:color="auto" w:fill="A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6A739D" w:rsidRPr="00C91A9A">
        <w:trPr>
          <w:trHeight w:val="763"/>
          <w:tblCellSpacing w:w="15" w:type="dxa"/>
        </w:trPr>
        <w:tc>
          <w:tcPr>
            <w:tcW w:w="2365" w:type="dxa"/>
            <w:shd w:val="clear" w:color="auto" w:fill="F2F2F2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Средний минимум, °C</w:t>
            </w:r>
          </w:p>
        </w:tc>
        <w:tc>
          <w:tcPr>
            <w:tcW w:w="683" w:type="dxa"/>
            <w:shd w:val="clear" w:color="auto" w:fill="80FFFF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−12,3</w:t>
            </w:r>
          </w:p>
        </w:tc>
        <w:tc>
          <w:tcPr>
            <w:tcW w:w="683" w:type="dxa"/>
            <w:shd w:val="clear" w:color="auto" w:fill="80FFFF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−12,1</w:t>
            </w:r>
          </w:p>
        </w:tc>
        <w:tc>
          <w:tcPr>
            <w:tcW w:w="578" w:type="dxa"/>
            <w:shd w:val="clear" w:color="auto" w:fill="80FFE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−7,8</w:t>
            </w:r>
          </w:p>
        </w:tc>
        <w:tc>
          <w:tcPr>
            <w:tcW w:w="541" w:type="dxa"/>
            <w:shd w:val="clear" w:color="auto" w:fill="8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−1,1</w:t>
            </w:r>
          </w:p>
        </w:tc>
        <w:tc>
          <w:tcPr>
            <w:tcW w:w="584" w:type="dxa"/>
            <w:shd w:val="clear" w:color="auto" w:fill="C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592" w:type="dxa"/>
            <w:shd w:val="clear" w:color="auto" w:fill="FF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586" w:type="dxa"/>
            <w:shd w:val="clear" w:color="auto" w:fill="FF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543" w:type="dxa"/>
            <w:shd w:val="clear" w:color="auto" w:fill="FF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543" w:type="dxa"/>
            <w:shd w:val="clear" w:color="auto" w:fill="C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6,8</w:t>
            </w:r>
          </w:p>
        </w:tc>
        <w:tc>
          <w:tcPr>
            <w:tcW w:w="482" w:type="dxa"/>
            <w:shd w:val="clear" w:color="auto" w:fill="A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541" w:type="dxa"/>
            <w:shd w:val="clear" w:color="auto" w:fill="80FFC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−6</w:t>
            </w:r>
          </w:p>
        </w:tc>
        <w:tc>
          <w:tcPr>
            <w:tcW w:w="499" w:type="dxa"/>
            <w:shd w:val="clear" w:color="auto" w:fill="80FFFF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−11,1</w:t>
            </w:r>
          </w:p>
        </w:tc>
        <w:tc>
          <w:tcPr>
            <w:tcW w:w="478" w:type="dxa"/>
            <w:tcBorders>
              <w:left w:val="nil"/>
            </w:tcBorders>
            <w:shd w:val="clear" w:color="auto" w:fill="80FF80"/>
            <w:vAlign w:val="center"/>
          </w:tcPr>
          <w:p w:rsidR="006A739D" w:rsidRPr="00B94EE5" w:rsidRDefault="006A739D" w:rsidP="00F42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EE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6A739D" w:rsidRPr="00B94EE5" w:rsidRDefault="006A739D" w:rsidP="00F42708">
      <w:pPr>
        <w:shd w:val="clear" w:color="auto" w:fill="FFFFFF"/>
        <w:spacing w:before="269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739D" w:rsidRPr="00B94EE5" w:rsidRDefault="006A739D" w:rsidP="00F42708">
      <w:pPr>
        <w:shd w:val="clear" w:color="auto" w:fill="FFFFFF"/>
        <w:spacing w:before="269"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Близость Балтики, а также двух больших внутренних водоемов - Ладожского и Онежского озер сказываются избыточной влажностью - 700-850 мм осадков в год.</w:t>
      </w:r>
    </w:p>
    <w:p w:rsidR="006A739D" w:rsidRPr="00B94EE5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Участок находится вне зон затопления и сейсмоопасных зон.</w:t>
      </w:r>
    </w:p>
    <w:p w:rsidR="006A739D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Природные показатели территории в целом относятся к благоприятными.</w:t>
      </w: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A739D" w:rsidRDefault="006A739D" w:rsidP="00F42708">
      <w:pPr>
        <w:shd w:val="clear" w:color="auto" w:fill="FFFFFF"/>
        <w:spacing w:after="0" w:line="274" w:lineRule="exact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1.2. Проект планировочной организации территории.</w:t>
      </w: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A739D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1.2.1. Планировочная структура и зонирование территории.</w:t>
      </w: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Территория может рассматриваться развитием деревни Новый Погорелец в юго-восточном направлении.</w:t>
      </w: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Планировочная структура учитывает конфигурацию участка, особенности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геологического строения, рельеф, наличие внешних существующих и планируемых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автотранспортных коммуникаций, а также предполагаемый демографический состав населения.</w:t>
      </w:r>
    </w:p>
    <w:p w:rsidR="006A739D" w:rsidRPr="00F42708" w:rsidRDefault="006A739D" w:rsidP="00F42708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Территория состоит из земель общего пользования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участков индивидуальной застройки.</w:t>
      </w:r>
    </w:p>
    <w:p w:rsidR="006A739D" w:rsidRPr="00F42708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 землям общего пользования относятся земли, занятые дорогами, улицами (в пределах красных линий), а также площадками и участками объектов общего пользования.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Проектом планировочной организации предлагается функциональное зонирование территории:</w:t>
      </w:r>
    </w:p>
    <w:p w:rsidR="006A739D" w:rsidRPr="00F42708" w:rsidRDefault="006A739D" w:rsidP="00F42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территория под 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индивидуальные участки (площадь 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6130 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  <w:lang w:eastAsia="ru-RU"/>
        </w:rPr>
        <w:t>2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1,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га),</w:t>
      </w:r>
    </w:p>
    <w:p w:rsidR="006A739D" w:rsidRPr="00F42708" w:rsidRDefault="006A739D" w:rsidP="00F42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территория под дороги и инженерные сети и сооружения.</w:t>
      </w:r>
    </w:p>
    <w:p w:rsidR="006A739D" w:rsidRPr="00F42708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Площадь территории под дорогами и землями общего пользования составляет 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145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  <w:lang w:eastAsia="ru-RU"/>
        </w:rPr>
        <w:t>2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(0,7 га)</w:t>
      </w:r>
    </w:p>
    <w:p w:rsidR="006A739D" w:rsidRPr="00F42708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Большая часть территории занята под индивидуальные участки. </w:t>
      </w:r>
    </w:p>
    <w:p w:rsidR="006A739D" w:rsidRPr="00F42708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 участке не планируется строительство зданий инфраструктуры.</w:t>
      </w:r>
    </w:p>
    <w:p w:rsidR="006A739D" w:rsidRPr="00F42708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 проектируемой территории размещен один пожарный водоем и есть место, которое периодически заполняется водой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может быть использовано как еще один пожарный водоем</w:t>
      </w: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6A739D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Вся свободная от застройки и дорог территория предназначена для озеленения, размещения пешеходных зон.</w:t>
      </w:r>
    </w:p>
    <w:p w:rsidR="006A739D" w:rsidRPr="00B94EE5" w:rsidRDefault="006A739D" w:rsidP="00F42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F427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u w:val="single"/>
          <w:lang w:eastAsia="ru-RU"/>
        </w:rPr>
        <w:t>1.2.2 Транспортные и пешеходные коммуникации.</w:t>
      </w:r>
    </w:p>
    <w:p w:rsidR="006A739D" w:rsidRPr="00B94EE5" w:rsidRDefault="006A739D" w:rsidP="00F427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Планировочная структура и транспортный скелет территории учитывает особенности расположения участка. Все транспортные потоки объединены в единую систему.  </w:t>
      </w:r>
    </w:p>
    <w:p w:rsidR="006A739D" w:rsidRPr="00B94EE5" w:rsidRDefault="006A739D" w:rsidP="00F42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Вдоль всех проектируемых улиц предусмотрены пешеходные дорожки (тротуары). Проходы ко всем зданиям, имеющие твердое покрытие, могут быть использованы для проезда пожарных машин.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Предложенная планировка позволяет осуществить удобный проезд ко всем участкам и учитывает возможное перспективное развитие территории.</w:t>
      </w:r>
    </w:p>
    <w:p w:rsidR="006A739D" w:rsidRPr="00B94EE5" w:rsidRDefault="006A739D" w:rsidP="00F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планировочным решением назначены основные типы дорог:</w:t>
      </w:r>
    </w:p>
    <w:p w:rsidR="006A739D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- улица в населенном пункте (территория, предназначенная для движения транспорта и пешеходов, включая двухполосную проезжую часть, тротуары, </w:t>
      </w:r>
      <w:r>
        <w:rPr>
          <w:rFonts w:ascii="Times New Roman" w:hAnsi="Times New Roman" w:cs="Times New Roman"/>
          <w:sz w:val="24"/>
          <w:szCs w:val="24"/>
          <w:lang w:eastAsia="ru-RU"/>
        </w:rPr>
        <w:t>зона озеленения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лотки для отвода воды).</w:t>
      </w:r>
    </w:p>
    <w:p w:rsidR="006A739D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44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2"/>
        <w:gridCol w:w="1363"/>
        <w:gridCol w:w="1362"/>
        <w:gridCol w:w="1363"/>
        <w:gridCol w:w="1362"/>
        <w:gridCol w:w="1363"/>
        <w:gridCol w:w="1363"/>
      </w:tblGrid>
      <w:tr w:rsidR="006A739D" w:rsidRPr="00C91A9A">
        <w:trPr>
          <w:trHeight w:hRule="exact" w:val="1205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Категория 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улиц </w:t>
            </w:r>
            <w:r w:rsidRPr="00B94E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дорог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Ширина полосы </w:t>
            </w: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движения, м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Кол-во 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полос </w:t>
            </w: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Ширина </w:t>
            </w: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тротуара, м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Ширина </w:t>
            </w:r>
            <w:r w:rsidRPr="00B662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лотк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662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отвода воды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Ширина зоны озеленения, м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Ширина в красных 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линиях, м</w:t>
            </w:r>
          </w:p>
        </w:tc>
      </w:tr>
      <w:tr w:rsidR="006A739D" w:rsidRPr="00C91A9A">
        <w:trPr>
          <w:trHeight w:hRule="exact" w:val="87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39D" w:rsidRPr="00B94EE5" w:rsidRDefault="006A739D" w:rsidP="0043714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39D" w:rsidRPr="00B94EE5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EA2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39D" w:rsidRPr="00B94EE5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39D" w:rsidRPr="00B94EE5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0,5-</w:t>
            </w:r>
            <w:r w:rsidRPr="00B94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A739D" w:rsidRPr="00B94EE5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1,</w:t>
            </w:r>
            <w:r w:rsidRPr="00EA24FB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EA24FB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A739D" w:rsidRPr="00B94EE5" w:rsidRDefault="006A739D" w:rsidP="004371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Pr="00EA24FB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0</w:t>
            </w:r>
            <w:r w:rsidRPr="00B94EE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</w:tr>
    </w:tbl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F4270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A739D" w:rsidRPr="00B94EE5" w:rsidRDefault="006A739D" w:rsidP="00F42708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lang w:eastAsia="ru-RU"/>
        </w:rPr>
        <w:t>Конструкция дорожной одежды принята капитальная, в соответствии с перспективной интенсивностью и рассчитана на движение большегрузного транспорта в период строительства</w:t>
      </w:r>
      <w:r w:rsidRPr="00B94EE5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6A739D" w:rsidRPr="00B94EE5" w:rsidRDefault="006A739D" w:rsidP="00F42708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Горячий плотный мелкозернистый асфальтобетон тип Б, марки </w:t>
      </w: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I</w:t>
      </w: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, по ГОСТ</w:t>
      </w: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9128-97, толщиной слоя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h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-5 см;</w:t>
      </w:r>
    </w:p>
    <w:p w:rsidR="006A739D" w:rsidRPr="00B94EE5" w:rsidRDefault="006A739D" w:rsidP="00F42708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Горячий плотный крупнозернистый асфальтобетон тип Б, марки </w:t>
      </w: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</w:t>
      </w: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, по ГОСТ</w:t>
      </w: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9128-97, толщиной слоя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h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-7 см;</w:t>
      </w:r>
    </w:p>
    <w:p w:rsidR="006A739D" w:rsidRPr="00B94EE5" w:rsidRDefault="006A739D" w:rsidP="00F42708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Щебень фракции 40-70мм М 1000 уложенный по способу заклинки, толщи</w:t>
      </w:r>
      <w:r w:rsidRPr="00B94EE5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ной слоя И-20см;</w:t>
      </w:r>
    </w:p>
    <w:p w:rsidR="006A739D" w:rsidRDefault="006A739D" w:rsidP="00F42708">
      <w:pPr>
        <w:shd w:val="clear" w:color="auto" w:fill="FFFFFF"/>
        <w:spacing w:before="24" w:after="0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Песок мелкий (Кф&gt;3.0 м/сут), по ГОСТ 8736 - 93, толщиной слоя 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-40 см.</w:t>
      </w:r>
    </w:p>
    <w:p w:rsidR="006A739D" w:rsidRPr="00B94EE5" w:rsidRDefault="006A739D" w:rsidP="00F42708">
      <w:pPr>
        <w:shd w:val="clear" w:color="auto" w:fill="FFFFFF"/>
        <w:spacing w:before="24" w:after="0" w:line="278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6A739D" w:rsidRDefault="006A739D" w:rsidP="00F427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u w:val="single"/>
          <w:lang w:eastAsia="ru-RU"/>
        </w:rPr>
        <w:t>1.2.3.Озеленение и благоустройство.</w:t>
      </w:r>
    </w:p>
    <w:p w:rsidR="006A739D" w:rsidRPr="00F42708" w:rsidRDefault="006A739D" w:rsidP="00F427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A739D" w:rsidRPr="00B94EE5" w:rsidRDefault="006A739D" w:rsidP="00F42708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Проектом предусматривает благоустройство территории в объеме необходимом для обеспечения комфорта и безопасности. </w:t>
      </w:r>
    </w:p>
    <w:p w:rsidR="006A739D" w:rsidRPr="00B94EE5" w:rsidRDefault="006A739D" w:rsidP="00F42708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lang w:eastAsia="ru-RU"/>
        </w:rPr>
        <w:t>Проектом предлагается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2708">
        <w:rPr>
          <w:rFonts w:ascii="Times New Roman" w:hAnsi="Times New Roman" w:cs="Times New Roman"/>
          <w:sz w:val="24"/>
          <w:szCs w:val="24"/>
          <w:lang w:eastAsia="ru-RU"/>
        </w:rPr>
        <w:t xml:space="preserve">озеленение общественных зон, улиц и проездов в красных линиях путем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устройства газонов,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устройство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травяного покрова.</w:t>
      </w:r>
    </w:p>
    <w:p w:rsidR="006A739D" w:rsidRPr="00B94EE5" w:rsidRDefault="006A739D" w:rsidP="00F42708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lang w:eastAsia="ru-RU"/>
        </w:rPr>
        <w:t>Проектом рекомендуется твердое покрытие для всех улиц и тротуаров, для площадок перед зданиями.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A739D" w:rsidRPr="00B94EE5" w:rsidRDefault="006A739D" w:rsidP="00F42708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708">
        <w:rPr>
          <w:rFonts w:ascii="Times New Roman" w:hAnsi="Times New Roman" w:cs="Times New Roman"/>
          <w:sz w:val="24"/>
          <w:szCs w:val="24"/>
          <w:lang w:eastAsia="ru-RU"/>
        </w:rPr>
        <w:t>Организация территории проектируемого участка также предусматривает выполнение следующих работ:</w:t>
      </w:r>
    </w:p>
    <w:p w:rsidR="006A739D" w:rsidRPr="00B94EE5" w:rsidRDefault="006A739D" w:rsidP="00F4270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>устройство системы открытого водоотвода с использованием существующих канав;</w:t>
      </w:r>
    </w:p>
    <w:p w:rsidR="006A739D" w:rsidRPr="00B94EE5" w:rsidRDefault="006A739D" w:rsidP="00F4270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42708">
        <w:rPr>
          <w:rFonts w:ascii="Times New Roman" w:hAnsi="Times New Roman" w:cs="Times New Roman"/>
          <w:sz w:val="24"/>
          <w:szCs w:val="24"/>
          <w:lang w:eastAsia="ru-RU"/>
        </w:rPr>
        <w:t>устройство и размещение малых архитектурных форм (например, урн для мусора);</w:t>
      </w:r>
    </w:p>
    <w:p w:rsidR="006A739D" w:rsidRPr="00B94EE5" w:rsidRDefault="006A739D" w:rsidP="00F4270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42708">
        <w:rPr>
          <w:rFonts w:ascii="Times New Roman" w:hAnsi="Times New Roman" w:cs="Times New Roman"/>
          <w:sz w:val="24"/>
          <w:szCs w:val="24"/>
          <w:lang w:eastAsia="ru-RU"/>
        </w:rPr>
        <w:t>размещение наглядной агитации по охране природы и оздоровлению территорий, установка текстовых аншлагов, указателей;</w:t>
      </w:r>
    </w:p>
    <w:p w:rsidR="006A739D" w:rsidRPr="00B94EE5" w:rsidRDefault="006A739D" w:rsidP="00F4270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42708">
        <w:rPr>
          <w:rFonts w:ascii="Times New Roman" w:hAnsi="Times New Roman" w:cs="Times New Roman"/>
          <w:sz w:val="24"/>
          <w:szCs w:val="24"/>
          <w:lang w:eastAsia="ru-RU"/>
        </w:rPr>
        <w:t>устройство сооружений наружного освещения (светильники устанавливаются на опорах вдоль автодорог, на территории общественной зоны);</w:t>
      </w:r>
    </w:p>
    <w:p w:rsidR="006A739D" w:rsidRDefault="006A739D" w:rsidP="005C39B4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42708">
        <w:rPr>
          <w:rFonts w:ascii="Times New Roman" w:hAnsi="Times New Roman" w:cs="Times New Roman"/>
          <w:sz w:val="24"/>
          <w:szCs w:val="24"/>
          <w:lang w:eastAsia="ru-RU"/>
        </w:rPr>
        <w:t>планировка поверхности.</w:t>
      </w:r>
    </w:p>
    <w:p w:rsidR="006A739D" w:rsidRDefault="006A739D" w:rsidP="005C39B4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1.2.4. Организация рельефа</w:t>
      </w:r>
    </w:p>
    <w:p w:rsidR="006A739D" w:rsidRPr="00B94EE5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Площадку в целом можно охарактеризовать как относительно благоприятную для строительства с необходимыми мероприятиями по инженерной подготовке территории: подсыпке пониженных мест, организации отвода дождевых и талых вод.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Вертикальная планировка.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Схема вертикальной планировки и инженерной подготовки территории выполнена на топографической съёмке масштаба 1:500. выполненной в 2013 году. Система координат 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СК-47</w:t>
      </w: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Основными задачами вертикальной планировки являлись: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•</w:t>
      </w: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ab/>
        <w:t>организация стока поверхностных (дождевых и талых) вод с проектируемой территории;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•</w:t>
      </w: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ab/>
        <w:t>обеспечение допустимых уклонов улиц, перекрестков, тротуаров для безопасного и удобного движения транспорта и пешеходов;</w:t>
      </w:r>
    </w:p>
    <w:p w:rsidR="006A739D" w:rsidRPr="009C183B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•</w:t>
      </w:r>
      <w:r w:rsidRPr="009C183B">
        <w:rPr>
          <w:rFonts w:ascii="Times New Roman" w:hAnsi="Times New Roman" w:cs="Times New Roman"/>
          <w:spacing w:val="1"/>
          <w:sz w:val="24"/>
          <w:szCs w:val="24"/>
          <w:lang w:eastAsia="ru-RU"/>
        </w:rPr>
        <w:tab/>
        <w:t>созданий благоприятных условий для размещения зданий.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Схема вертикальной планировки выполнена по улицам и проездам с максимальным приближением к существующему рельефу. Решения по вертикальной планировке даны на чертеже в виде отметок (проектных и чёрных). 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Проезжая часть улиц, имеет односкатный поперечный профиль, требующий уточнения на дальнейших стадиях проектирования. Поперечный уклон - 2%. 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Водостоки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Уклоны по улицам и рельефу достаточны для пропуска и сбора ливневого стока.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 настоящем проекте организация поверхностного водоотвода принята открытой. Открытые водостоки представляют собой придорожные канавы, собирающие поверхностный сток и отводящие его на рельеф за территорией улиц. в естественном направлении тока воды без предварительной очистки.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Запроектированная система водостоков проложена по проектируемым улицам и проездам по направлениям максимальных уклонов рельефа. 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Ширина канавы по дну составляет 0.3м, глубина в начальной точке 0.4м, в конечной точке – 1.0м, заложение откосов 1:1.5. Размеры канав приняты в соответствии с требованиями пункта 2.43 СНиП 2.04.03-85 «Канализация. Наружные сети и сооружения». Укрепление дна и бортов канав производится в зависимости от уклона канавы по дну засевом травы или укладкой бетонных плит. 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 состав подготовительных мероприятий, производимых до начала инженерной подготовки территории, входят: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•</w:t>
      </w: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ab/>
        <w:t xml:space="preserve">расчистка территории от кустарника; 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•</w:t>
      </w: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ab/>
        <w:t>снятие растительного слоя грунта по трассам будущих улиц и проездов, с последующим хранением в строго отведенных местах, и использованием при благоустройстве территории.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Проектируемая дорога в районе пожарного водоема частично запроектирована по нему. При этом часть водоема, попадающая в границы проектируемой дороги, будет засыпана. Дорога запроектирована, так что сточные воды с дороги будут поступать в канавы по отводу воды, а из них непосредственно в пожарный водоем.</w:t>
      </w:r>
    </w:p>
    <w:p w:rsidR="006A739D" w:rsidRPr="00583F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583F9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Излишки грунта, полученные при устройстве дорожных корыт, могут быть использованы для подсыпки пониженных мест, благоустройства и укрепления прилегающих территорий.</w:t>
      </w:r>
    </w:p>
    <w:p w:rsidR="006A739D" w:rsidRDefault="006A739D" w:rsidP="009C183B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739D" w:rsidRDefault="006A739D" w:rsidP="003350E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2. ТЕХНИКО-ЭКОНОМИЧЕСКАЯ ЧАСТЬ.</w:t>
      </w:r>
    </w:p>
    <w:p w:rsidR="006A739D" w:rsidRPr="00B94EE5" w:rsidRDefault="006A739D" w:rsidP="003350E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z w:val="24"/>
          <w:szCs w:val="24"/>
          <w:lang w:eastAsia="ru-RU"/>
        </w:rPr>
        <w:t>Площадь планируемого земельного участка – 23275,52 м</w:t>
      </w:r>
      <w:r w:rsidRPr="00374A9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существующих земельных участков, которые находятся на учете в ГКН – 8510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проектируемых земельных участков – 8726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земель общего пользования (в «красных» линиях) – 6412,03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проектируемых автодорог, покрытых асфальтом – 3557,07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земель общего пользования (тротуары, газоны) – 2854,96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земельного участка отведенного под пожарный водоем – 732,85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Площадь фактически застроенная жилыми домами и хозпостройками – 1634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tbl>
      <w:tblPr>
        <w:tblW w:w="9800" w:type="dxa"/>
        <w:tblInd w:w="-106" w:type="dxa"/>
        <w:tblLook w:val="00A0"/>
      </w:tblPr>
      <w:tblGrid>
        <w:gridCol w:w="700"/>
        <w:gridCol w:w="7740"/>
        <w:gridCol w:w="1360"/>
      </w:tblGrid>
      <w:tr w:rsidR="006A739D" w:rsidRPr="00C91A9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м²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планируемого земельного участка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23275,52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существующих земельных участков, которые находятся на учете в ГКН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8510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проектируемых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8726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 общего пользования (в «красных» линиях)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6412,03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проектируемых автодорог, покрытых асфальтом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3557,07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 общего пользования (тротуары, газоны)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2854,96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отведенного под пожарный водоем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732,85</w:t>
            </w:r>
          </w:p>
        </w:tc>
      </w:tr>
      <w:tr w:rsidR="006A739D" w:rsidRPr="00C91A9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фактически застроенная жилыми домами и хозпостройками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39D" w:rsidRPr="00D33BD2" w:rsidRDefault="006A739D" w:rsidP="00D3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</w:tr>
    </w:tbl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Для более рационального использования земли проектом предлагается увеличить земельный участок с кадастровым номером 47:13:0911001:31. По данным ГКН площадь участка составляет 1205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, по проекту она будет 1438 м</w:t>
      </w:r>
      <w:r w:rsidRPr="00374A91">
        <w:rPr>
          <w:rFonts w:ascii="Times New Roman" w:hAnsi="Times New Roman" w:cs="Times New Roman"/>
          <w:spacing w:val="6"/>
          <w:sz w:val="24"/>
          <w:szCs w:val="24"/>
          <w:vertAlign w:val="superscript"/>
          <w:lang w:eastAsia="ru-RU"/>
        </w:rPr>
        <w:t>2</w:t>
      </w: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На территории планируемого участка </w:t>
      </w:r>
      <w:bookmarkStart w:id="0" w:name="_GoBack"/>
      <w:bookmarkEnd w:id="0"/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имеется понижение рельефа. Во время таяния снега оно заполняется водой и может использоваться как дополнительный пожарный водоем.</w:t>
      </w: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374A9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Все виды социально-бытового обслуживания обеспечиваются за счет существующих учреждений, расположенных в г. Тихвин.</w:t>
      </w: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Вся территория планируемого участка находится в водоохранной зоне р. Тихвинка. Запроектирована санитарно-защитная зона захоронения времен ВОВ, также охранная зона ЛЭП.</w:t>
      </w:r>
    </w:p>
    <w:p w:rsidR="006A739D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охранную прибрежную защитную полосу планируемый участок не входит.</w:t>
      </w:r>
    </w:p>
    <w:p w:rsidR="006A739D" w:rsidRPr="00374A91" w:rsidRDefault="006A739D" w:rsidP="00081A0A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3. ИНЖЕНЕРНЫЕ РЕШЕНИЯ.</w:t>
      </w:r>
    </w:p>
    <w:p w:rsidR="006A739D" w:rsidRDefault="006A739D" w:rsidP="005C39B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Водоснабжение и канализация.</w:t>
      </w:r>
    </w:p>
    <w:p w:rsidR="006A739D" w:rsidRDefault="006A739D" w:rsidP="005C39B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Водоснабжение.</w:t>
      </w: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6A739D" w:rsidRPr="00B94EE5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качестве индивидуальных источников водоснабжения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Проектом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предусматривается использование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двух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колодцев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, расположенных непосредственно на территории участка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Расход воды на наружное пожаротушение принимается в соответствии со </w:t>
      </w:r>
      <w:r w:rsidRPr="00B94EE5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СНиП 2.04.02-84 равным 5 л/с, требуемый объем воды принимается равным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54куб.м. Для обеспечения требуемого объема имеются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один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пожарны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водоем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территория, периодически заполняемая водой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Канализация.</w:t>
      </w:r>
    </w:p>
    <w:p w:rsidR="006A739D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</w:pPr>
    </w:p>
    <w:p w:rsidR="006A739D" w:rsidRPr="00B94EE5" w:rsidRDefault="006A739D" w:rsidP="005C39B4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Отвод хозяйственно-бытовых сточных вод предлагается в герметичные выгребные емкости, располагаемые на каждом участке. Сточные воды поступают в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пожарный водоем</w:t>
      </w:r>
      <w:r w:rsidRPr="00B94EE5">
        <w:rPr>
          <w:rFonts w:ascii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6A739D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Отвод поверхностных стоков с полотна дорог предусмотрен по водоотвод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ным канавам и лоткам. Откосы и </w:t>
      </w:r>
      <w:r w:rsidRPr="00B94E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дно канав укрепляются.</w:t>
      </w:r>
    </w:p>
    <w:p w:rsidR="006A739D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5C39B4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3.2. Отопление. Вентиляция</w:t>
      </w:r>
    </w:p>
    <w:p w:rsidR="006A739D" w:rsidRDefault="006A739D" w:rsidP="005C39B4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A739D" w:rsidRPr="00B94EE5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индивидуальные дома оснащены системами автономного отопления (печи). В качестве источника тепла предлагается универсальный отопительный котел, работающий на твердом топливе. </w:t>
      </w:r>
    </w:p>
    <w:p w:rsidR="006A739D" w:rsidRPr="00B94EE5" w:rsidRDefault="006A739D" w:rsidP="005C39B4">
      <w:pPr>
        <w:shd w:val="clear" w:color="auto" w:fill="FFFFFF"/>
        <w:spacing w:after="0" w:line="278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 системе отопления применяются стальные конверторы или стальные ра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диаторы. </w:t>
      </w:r>
    </w:p>
    <w:p w:rsidR="006A739D" w:rsidRDefault="006A739D" w:rsidP="00DF71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Вентиляция кухонь, санузлов естественная, через вентиляционный блок. </w:t>
      </w:r>
    </w:p>
    <w:p w:rsidR="006A739D" w:rsidRDefault="006A739D" w:rsidP="00DF71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A739D" w:rsidRDefault="006A739D" w:rsidP="00DF71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3.3. </w:t>
      </w:r>
      <w:r w:rsidRPr="00B94E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Электроснабжение.</w:t>
      </w:r>
    </w:p>
    <w:p w:rsidR="006A739D" w:rsidRDefault="006A739D" w:rsidP="00DF71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A739D" w:rsidRPr="00195F62" w:rsidRDefault="006A739D" w:rsidP="00195F62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195F62">
        <w:rPr>
          <w:rFonts w:ascii="Times New Roman" w:hAnsi="Times New Roman" w:cs="Times New Roman"/>
          <w:spacing w:val="1"/>
          <w:sz w:val="24"/>
          <w:szCs w:val="24"/>
          <w:lang w:eastAsia="ru-RU"/>
        </w:rPr>
        <w:t>Электроснабжение территории будет выполняться от существующих источников электроснабжения.</w:t>
      </w:r>
    </w:p>
    <w:p w:rsidR="006A739D" w:rsidRPr="00B94EE5" w:rsidRDefault="006A739D" w:rsidP="00195F62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F62">
        <w:rPr>
          <w:rFonts w:ascii="Times New Roman" w:hAnsi="Times New Roman" w:cs="Times New Roman"/>
          <w:spacing w:val="1"/>
          <w:sz w:val="24"/>
          <w:szCs w:val="24"/>
          <w:lang w:eastAsia="ru-RU"/>
        </w:rPr>
        <w:t>Электроснабжение по степени</w:t>
      </w:r>
      <w:r w:rsidRPr="00195F6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надежности относится к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категории.</w:t>
      </w:r>
    </w:p>
    <w:p w:rsidR="006A739D" w:rsidRPr="00B94EE5" w:rsidRDefault="006A739D" w:rsidP="00195F62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Сети электроснабжения на территории предусмотрены воздушными линия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ми. На вводе в каждый дом устанавливается счетчик учета потребляемой элек</w:t>
      </w:r>
      <w:r w:rsidRPr="00B94EE5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троэнергии.</w:t>
      </w:r>
    </w:p>
    <w:p w:rsidR="006A739D" w:rsidRPr="00B94EE5" w:rsidRDefault="006A739D" w:rsidP="00195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улицах и проездах территории предусмотрено наружное освещение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6A739D" w:rsidRDefault="006A739D" w:rsidP="00195F62">
      <w:pPr>
        <w:shd w:val="clear" w:color="auto" w:fill="FFFFFF"/>
        <w:spacing w:before="5"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Укрупненные показатели электропотребления </w:t>
      </w:r>
      <w:r w:rsidRPr="00B94EE5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(приняты в соответствии с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СНиП 2.07.01-89* прил.12)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950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кВт на ч./год.</w:t>
      </w:r>
    </w:p>
    <w:p w:rsidR="006A739D" w:rsidRDefault="006A739D" w:rsidP="00195F62">
      <w:pPr>
        <w:shd w:val="clear" w:color="auto" w:fill="FFFFFF"/>
        <w:spacing w:before="5"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before="5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3.4. </w:t>
      </w:r>
      <w:r w:rsidRPr="00B94E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Газоснабжение.</w:t>
      </w:r>
    </w:p>
    <w:p w:rsidR="006A739D" w:rsidRDefault="006A739D" w:rsidP="00195F62">
      <w:pPr>
        <w:shd w:val="clear" w:color="auto" w:fill="FFFFFF"/>
        <w:spacing w:before="5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before="5" w:after="0" w:line="274" w:lineRule="exact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Для присоединения к газораспределительной сети распределительного газопровода необходимо получить ТУ</w:t>
      </w:r>
      <w:r w:rsidRPr="00B94EE5">
        <w:rPr>
          <w:rFonts w:ascii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6A739D" w:rsidRDefault="006A739D" w:rsidP="00195F62">
      <w:pPr>
        <w:shd w:val="clear" w:color="auto" w:fill="FFFFFF"/>
        <w:spacing w:before="5" w:after="0" w:line="274" w:lineRule="exact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before="5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3.5. Системы связи.</w:t>
      </w:r>
    </w:p>
    <w:p w:rsidR="006A739D" w:rsidRDefault="006A739D" w:rsidP="00195F62">
      <w:pPr>
        <w:shd w:val="clear" w:color="auto" w:fill="FFFFFF"/>
        <w:spacing w:before="5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6A739D" w:rsidRPr="00195F62" w:rsidRDefault="006A739D" w:rsidP="00195F62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На территории будет предусмотрена:</w:t>
      </w:r>
    </w:p>
    <w:p w:rsidR="006A739D" w:rsidRPr="00195F62" w:rsidRDefault="006A739D" w:rsidP="00195F62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беспроводные системы связи,</w:t>
      </w:r>
    </w:p>
    <w:p w:rsidR="006A739D" w:rsidRDefault="006A739D" w:rsidP="00195F62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беспроводные системы оповещения по сигналам ГО и ЧС.</w:t>
      </w:r>
    </w:p>
    <w:p w:rsidR="006A739D" w:rsidRDefault="006A739D" w:rsidP="00195F62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95F6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4. МЕРОПРИЯТИЯ ПО ПОЖАРНОЙ БЕЗОПАСНОСТИ.</w:t>
      </w:r>
    </w:p>
    <w:p w:rsidR="006A739D" w:rsidRDefault="006A739D" w:rsidP="00195F6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6A739D" w:rsidRPr="00B94EE5" w:rsidRDefault="006A739D" w:rsidP="00195F62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 запроектированных улиц обеспечивает доступ пожар</w:t>
      </w:r>
      <w:r w:rsidRPr="00B94EE5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ных машин к любому зданию.</w:t>
      </w:r>
    </w:p>
    <w:p w:rsidR="006A739D" w:rsidRPr="00195F62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Pr="00195F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 проекте учтены противопожарные разрывы между зданиями в соответ</w:t>
      </w:r>
      <w:r w:rsidRPr="00195F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ствии со степенью огнестойкости зданий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6A739D" w:rsidRPr="00B94EE5" w:rsidRDefault="006A739D" w:rsidP="00F4270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6A739D" w:rsidRPr="00195F62" w:rsidRDefault="006A739D" w:rsidP="00195F62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95F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F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проектировании зданий будет предусмотрена их молниезащита.</w:t>
      </w:r>
    </w:p>
    <w:p w:rsidR="006A739D" w:rsidRPr="00195F62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Наружное пожаротушение (производительностью 5 л/сек, продолжи</w:t>
      </w: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тельностью 3 часа </w:t>
      </w:r>
      <w:r w:rsidRPr="009B39E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СП 31.13330.2012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B39E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Актуализированная редакция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СНиП 2.04.02-84*, табл.6) предусматривается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один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пожарны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водоем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территория, периодически заполняемая водой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(радиус обслуживания не более 200 метров). В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одоемы имеют </w:t>
      </w:r>
      <w:r w:rsidRPr="005D75C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свободный подъезд пожарных машин </w:t>
      </w:r>
      <w:r w:rsidRPr="00195F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по дороге с твердым покрытием. У водоема имеется разворотная площадка. На площадке и у резервуаров установлен указатель «ПВ».</w:t>
      </w:r>
    </w:p>
    <w:p w:rsidR="006A739D" w:rsidRPr="00195F62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5</w:t>
      </w:r>
      <w:r w:rsidRPr="00195F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. По всей территории предусмотрена ширина проезжей части равная 6 метров;</w:t>
      </w:r>
    </w:p>
    <w:p w:rsidR="006A739D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6</w:t>
      </w:r>
      <w:r w:rsidRPr="00195F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. Все применяемые при строительстве материалы должны иметь сертификаты соответствия требованиям норм противопожарной</w:t>
      </w:r>
      <w:r w:rsidRPr="00B94EE5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безопасности.</w:t>
      </w:r>
    </w:p>
    <w:p w:rsidR="006A739D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195F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Минимальные противопожарные расстояния между крайними строения</w:t>
      </w:r>
      <w:r w:rsidRPr="00B94E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ми и группами строений на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земельных</w:t>
      </w:r>
      <w:r w:rsidRPr="00B94E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участках.</w:t>
      </w:r>
    </w:p>
    <w:p w:rsidR="006A739D" w:rsidRPr="00B94EE5" w:rsidRDefault="006A739D" w:rsidP="00F42708">
      <w:pPr>
        <w:spacing w:after="259" w:line="1" w:lineRule="exact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1"/>
        <w:gridCol w:w="1034"/>
        <w:gridCol w:w="1034"/>
        <w:gridCol w:w="1054"/>
      </w:tblGrid>
      <w:tr w:rsidR="006A739D" w:rsidRPr="00C91A9A">
        <w:trPr>
          <w:trHeight w:hRule="exact" w:val="367"/>
        </w:trPr>
        <w:tc>
          <w:tcPr>
            <w:tcW w:w="7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9C568F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Материал несущих и ограждающих конструкций строе</w:t>
            </w:r>
            <w:r w:rsidRPr="00B94EE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Расстояния, м</w:t>
            </w:r>
          </w:p>
        </w:tc>
      </w:tr>
      <w:tr w:rsidR="006A739D" w:rsidRPr="00C91A9A">
        <w:trPr>
          <w:trHeight w:hRule="exact" w:val="337"/>
        </w:trPr>
        <w:tc>
          <w:tcPr>
            <w:tcW w:w="7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F4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39D" w:rsidRPr="00B94EE5" w:rsidRDefault="006A739D" w:rsidP="00F4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A739D" w:rsidRPr="00C91A9A">
        <w:trPr>
          <w:trHeight w:hRule="exact" w:val="897"/>
        </w:trPr>
        <w:tc>
          <w:tcPr>
            <w:tcW w:w="7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9C568F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94E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Камень, бетон, железобетон и другие негорючие мате</w:t>
            </w:r>
            <w:r w:rsidRPr="00B94EE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9D" w:rsidRPr="00C91A9A">
        <w:trPr>
          <w:trHeight w:hRule="exact" w:val="887"/>
        </w:trPr>
        <w:tc>
          <w:tcPr>
            <w:tcW w:w="7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F42708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B94E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То же, с деревянными перекрытиями и покрытиями, 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защищенными трудногорючими материалами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39D" w:rsidRPr="00C91A9A">
        <w:trPr>
          <w:trHeight w:hRule="exact" w:val="926"/>
        </w:trPr>
        <w:tc>
          <w:tcPr>
            <w:tcW w:w="7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F4270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94E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Древесина, каркасные ограждающие конструкции из негорючих, трудногорючих и горючих материалов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9D" w:rsidRPr="00B94EE5" w:rsidRDefault="006A739D" w:rsidP="00BF4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E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6A739D" w:rsidRDefault="006A739D" w:rsidP="00195F62">
      <w:pPr>
        <w:shd w:val="clear" w:color="auto" w:fill="FFFFFF"/>
        <w:spacing w:before="533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before="533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B94E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ОХРАНЕ ОКРУЖАЮЩЕЙ СРЕДЫ И ОЧИСТКА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ТЕРРИТОРИИ.</w:t>
      </w:r>
    </w:p>
    <w:p w:rsidR="006A739D" w:rsidRPr="00B94EE5" w:rsidRDefault="006A739D" w:rsidP="00195F62">
      <w:pPr>
        <w:shd w:val="clear" w:color="auto" w:fill="FFFFFF"/>
        <w:spacing w:before="533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Default="006A739D" w:rsidP="00195F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проектировании предусматриваются следующие мероприятия по охране окружающей среды и ландшафта:</w:t>
      </w:r>
    </w:p>
    <w:p w:rsidR="006A739D" w:rsidRPr="00195F62" w:rsidRDefault="006A739D" w:rsidP="00195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Индивидуальные дома запроектированы с учетом санитарных разрывов и обеспечения оптимальной инсоляции.</w:t>
      </w:r>
    </w:p>
    <w:p w:rsidR="006A739D" w:rsidRPr="00195F62" w:rsidRDefault="006A739D" w:rsidP="00195F62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Индивидуальные участки расположены в водоохранной зоне.</w:t>
      </w:r>
    </w:p>
    <w:p w:rsidR="006A739D" w:rsidRPr="00195F62" w:rsidRDefault="006A739D" w:rsidP="00195F62">
      <w:pPr>
        <w:widowControl w:val="0"/>
        <w:shd w:val="clear" w:color="auto" w:fill="FFFFFF"/>
        <w:tabs>
          <w:tab w:val="left" w:pos="1291"/>
          <w:tab w:val="left" w:pos="84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Улицы и проезды запроектированы с твердым покрытием. Предусматривается устройство тротуаров.</w:t>
      </w:r>
    </w:p>
    <w:p w:rsidR="006A739D" w:rsidRPr="00FF6DD2" w:rsidRDefault="006A739D" w:rsidP="00195F62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Pr="00195F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Обеспечивается</w:t>
      </w:r>
      <w:r w:rsidRPr="00FF6DD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поверхностный водоотвод.</w:t>
      </w:r>
    </w:p>
    <w:p w:rsidR="006A739D" w:rsidRPr="00FF6DD2" w:rsidRDefault="006A739D" w:rsidP="00195F62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5. </w:t>
      </w:r>
      <w:r w:rsidRPr="00FF6DD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Для отвода ливневых стоков с автодорог и хозяйственных площадок предусмот</w:t>
      </w:r>
      <w:r w:rsidRPr="00FF6DD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рены уклоны дорог в сторону водоотводных канав.</w:t>
      </w:r>
    </w:p>
    <w:p w:rsidR="006A739D" w:rsidRPr="00FF6DD2" w:rsidRDefault="006A739D" w:rsidP="00195F62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FF6DD2">
        <w:rPr>
          <w:rFonts w:ascii="Times New Roman" w:hAnsi="Times New Roman" w:cs="Times New Roman"/>
          <w:sz w:val="24"/>
          <w:szCs w:val="24"/>
          <w:lang w:eastAsia="ru-RU"/>
        </w:rPr>
        <w:t>Озеленение территории осуществляется посредством устройства газон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F6DD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FF6DD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посадки деревьев и кустарников вдоль улиц и дорог</w:t>
      </w:r>
      <w:r w:rsidRPr="00FF6DD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6A739D" w:rsidRPr="00FF6DD2" w:rsidRDefault="006A739D" w:rsidP="00195F62">
      <w:pPr>
        <w:pStyle w:val="ListParagraph"/>
        <w:widowControl w:val="0"/>
        <w:shd w:val="clear" w:color="auto" w:fill="FFFFFF"/>
        <w:tabs>
          <w:tab w:val="left" w:pos="2078"/>
        </w:tabs>
        <w:autoSpaceDE w:val="0"/>
        <w:autoSpaceDN w:val="0"/>
        <w:adjustRightInd w:val="0"/>
        <w:spacing w:after="0" w:line="274" w:lineRule="exact"/>
        <w:ind w:left="0"/>
        <w:jc w:val="both"/>
        <w:rPr>
          <w:rFonts w:ascii="Times New Roman" w:hAnsi="Times New Roman" w:cs="Times New Roman"/>
          <w:spacing w:val="-19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7. </w:t>
      </w:r>
      <w:r w:rsidRPr="00FF6DD2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Вертикальная планировка выполнена с учетом максимально возможного </w:t>
      </w:r>
      <w:r w:rsidRPr="00FF6DD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сохранения существующего рельефа.</w:t>
      </w:r>
    </w:p>
    <w:p w:rsidR="006A739D" w:rsidRPr="000654E3" w:rsidRDefault="006A739D" w:rsidP="00195F62">
      <w:pPr>
        <w:pStyle w:val="ListParagraph"/>
        <w:shd w:val="clear" w:color="auto" w:fill="FFFFFF"/>
        <w:tabs>
          <w:tab w:val="left" w:pos="2179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8. </w:t>
      </w:r>
      <w:r w:rsidRPr="00FF6DD2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Утилизация основной части отходов происходит непосредственно на уча</w:t>
      </w:r>
      <w:r w:rsidRPr="00FF6DD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стках.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654E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Отходы пакетируются и вывозятся жителями самостоятельно</w:t>
      </w:r>
      <w:r w:rsidRPr="000654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A739D" w:rsidRPr="00FF6DD2" w:rsidRDefault="006A739D" w:rsidP="00F4270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739D" w:rsidRPr="00FF6DD2" w:rsidRDefault="006A739D" w:rsidP="00F4270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739D" w:rsidRDefault="006A739D" w:rsidP="00F4270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739D" w:rsidRDefault="006A739D" w:rsidP="00F42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6A739D" w:rsidRPr="00B94EE5" w:rsidRDefault="006A739D" w:rsidP="00F42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39D" w:rsidRPr="00B94EE5" w:rsidRDefault="006A739D" w:rsidP="002B6D61">
      <w:pPr>
        <w:shd w:val="clear" w:color="auto" w:fill="FFFFFF"/>
        <w:spacing w:before="547" w:after="552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планировочной организации 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E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 в соответствии с тре</w:t>
      </w:r>
      <w:r w:rsidRPr="00B94EE5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бованиями градостроительного кодекса и других законодательных актов, с учетом действующих нормативов, инструкций, стандартов в области градостроительной 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документации.</w:t>
      </w:r>
    </w:p>
    <w:p w:rsidR="006A739D" w:rsidRPr="00B94EE5" w:rsidRDefault="006A739D" w:rsidP="00F42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Главный инженер проекта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Комбаров Ю.А.</w:t>
      </w:r>
      <w:r w:rsidRPr="00B94EE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</w:p>
    <w:p w:rsidR="006A739D" w:rsidRPr="00B94EE5" w:rsidRDefault="006A739D" w:rsidP="00F4270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lang w:eastAsia="ru-RU"/>
        </w:rPr>
      </w:pPr>
      <w:r w:rsidRPr="00B0405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0405E">
        <w:rPr>
          <w:rFonts w:ascii="Times New Roman" w:hAnsi="Times New Roman" w:cs="Times New Roman"/>
          <w:lang w:eastAsia="ru-RU"/>
        </w:rPr>
        <w:t>«</w:t>
      </w:r>
      <w:r>
        <w:rPr>
          <w:rFonts w:ascii="Times New Roman" w:hAnsi="Times New Roman" w:cs="Times New Roman"/>
          <w:lang w:eastAsia="ru-RU"/>
        </w:rPr>
        <w:t>5</w:t>
      </w:r>
      <w:r w:rsidRPr="00B0405E">
        <w:rPr>
          <w:rFonts w:ascii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lang w:eastAsia="ru-RU"/>
        </w:rPr>
        <w:t xml:space="preserve">мая </w:t>
      </w:r>
      <w:r w:rsidRPr="00B94EE5">
        <w:rPr>
          <w:rFonts w:ascii="Times New Roman" w:hAnsi="Times New Roman" w:cs="Times New Roman"/>
          <w:lang w:eastAsia="ru-RU"/>
        </w:rPr>
        <w:t>2014г.</w:t>
      </w:r>
    </w:p>
    <w:sectPr w:rsidR="006A739D" w:rsidRPr="00B94EE5" w:rsidSect="00A3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B8B790"/>
    <w:lvl w:ilvl="0">
      <w:numFmt w:val="bullet"/>
      <w:lvlText w:val="*"/>
      <w:lvlJc w:val="left"/>
    </w:lvl>
  </w:abstractNum>
  <w:abstractNum w:abstractNumId="1">
    <w:nsid w:val="0B113FE9"/>
    <w:multiLevelType w:val="singleLevel"/>
    <w:tmpl w:val="1CF67884"/>
    <w:lvl w:ilvl="0">
      <w:start w:val="7"/>
      <w:numFmt w:val="decimal"/>
      <w:lvlText w:val="%1."/>
      <w:legacy w:legacy="1" w:legacySpace="0" w:legacyIndent="283"/>
      <w:lvlJc w:val="left"/>
      <w:rPr>
        <w:rFonts w:ascii="Arial" w:hAnsi="Arial" w:hint="default"/>
      </w:rPr>
    </w:lvl>
  </w:abstractNum>
  <w:abstractNum w:abstractNumId="2">
    <w:nsid w:val="1D7F5A16"/>
    <w:multiLevelType w:val="singleLevel"/>
    <w:tmpl w:val="8A82FDC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25014D0C"/>
    <w:multiLevelType w:val="hybridMultilevel"/>
    <w:tmpl w:val="81FC2B94"/>
    <w:lvl w:ilvl="0" w:tplc="39FAA1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6445E56">
      <w:numFmt w:val="none"/>
      <w:lvlText w:val=""/>
      <w:lvlJc w:val="left"/>
      <w:pPr>
        <w:tabs>
          <w:tab w:val="num" w:pos="360"/>
        </w:tabs>
      </w:pPr>
    </w:lvl>
    <w:lvl w:ilvl="2" w:tplc="7AB270DA">
      <w:numFmt w:val="none"/>
      <w:lvlText w:val=""/>
      <w:lvlJc w:val="left"/>
      <w:pPr>
        <w:tabs>
          <w:tab w:val="num" w:pos="360"/>
        </w:tabs>
      </w:pPr>
    </w:lvl>
    <w:lvl w:ilvl="3" w:tplc="C13819A0">
      <w:numFmt w:val="none"/>
      <w:lvlText w:val=""/>
      <w:lvlJc w:val="left"/>
      <w:pPr>
        <w:tabs>
          <w:tab w:val="num" w:pos="360"/>
        </w:tabs>
      </w:pPr>
    </w:lvl>
    <w:lvl w:ilvl="4" w:tplc="77020D36">
      <w:numFmt w:val="none"/>
      <w:lvlText w:val=""/>
      <w:lvlJc w:val="left"/>
      <w:pPr>
        <w:tabs>
          <w:tab w:val="num" w:pos="360"/>
        </w:tabs>
      </w:pPr>
    </w:lvl>
    <w:lvl w:ilvl="5" w:tplc="561CE882">
      <w:numFmt w:val="none"/>
      <w:lvlText w:val=""/>
      <w:lvlJc w:val="left"/>
      <w:pPr>
        <w:tabs>
          <w:tab w:val="num" w:pos="360"/>
        </w:tabs>
      </w:pPr>
    </w:lvl>
    <w:lvl w:ilvl="6" w:tplc="70E2EF2A">
      <w:numFmt w:val="none"/>
      <w:lvlText w:val=""/>
      <w:lvlJc w:val="left"/>
      <w:pPr>
        <w:tabs>
          <w:tab w:val="num" w:pos="360"/>
        </w:tabs>
      </w:pPr>
    </w:lvl>
    <w:lvl w:ilvl="7" w:tplc="C6B0D406">
      <w:numFmt w:val="none"/>
      <w:lvlText w:val=""/>
      <w:lvlJc w:val="left"/>
      <w:pPr>
        <w:tabs>
          <w:tab w:val="num" w:pos="360"/>
        </w:tabs>
      </w:pPr>
    </w:lvl>
    <w:lvl w:ilvl="8" w:tplc="914813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7454A4"/>
    <w:multiLevelType w:val="singleLevel"/>
    <w:tmpl w:val="C150B6B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33371243"/>
    <w:multiLevelType w:val="hybridMultilevel"/>
    <w:tmpl w:val="81F07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73333"/>
    <w:multiLevelType w:val="multilevel"/>
    <w:tmpl w:val="D3668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A10BE0"/>
    <w:multiLevelType w:val="singleLevel"/>
    <w:tmpl w:val="787498B8"/>
    <w:lvl w:ilvl="0">
      <w:start w:val="4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62A10DED"/>
    <w:multiLevelType w:val="hybridMultilevel"/>
    <w:tmpl w:val="7360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D297D"/>
    <w:multiLevelType w:val="singleLevel"/>
    <w:tmpl w:val="90E05F40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0">
    <w:nsid w:val="6C960034"/>
    <w:multiLevelType w:val="hybridMultilevel"/>
    <w:tmpl w:val="EBD61ED2"/>
    <w:lvl w:ilvl="0" w:tplc="CB68CF3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D662040A">
      <w:numFmt w:val="none"/>
      <w:lvlText w:val=""/>
      <w:lvlJc w:val="left"/>
      <w:pPr>
        <w:tabs>
          <w:tab w:val="num" w:pos="360"/>
        </w:tabs>
      </w:pPr>
    </w:lvl>
    <w:lvl w:ilvl="2" w:tplc="35C8BA0E">
      <w:numFmt w:val="none"/>
      <w:lvlText w:val=""/>
      <w:lvlJc w:val="left"/>
      <w:pPr>
        <w:tabs>
          <w:tab w:val="num" w:pos="360"/>
        </w:tabs>
      </w:pPr>
    </w:lvl>
    <w:lvl w:ilvl="3" w:tplc="50F06B30">
      <w:numFmt w:val="none"/>
      <w:lvlText w:val=""/>
      <w:lvlJc w:val="left"/>
      <w:pPr>
        <w:tabs>
          <w:tab w:val="num" w:pos="360"/>
        </w:tabs>
      </w:pPr>
    </w:lvl>
    <w:lvl w:ilvl="4" w:tplc="ABAA4ACA">
      <w:numFmt w:val="none"/>
      <w:lvlText w:val=""/>
      <w:lvlJc w:val="left"/>
      <w:pPr>
        <w:tabs>
          <w:tab w:val="num" w:pos="360"/>
        </w:tabs>
      </w:pPr>
    </w:lvl>
    <w:lvl w:ilvl="5" w:tplc="909E934E">
      <w:numFmt w:val="none"/>
      <w:lvlText w:val=""/>
      <w:lvlJc w:val="left"/>
      <w:pPr>
        <w:tabs>
          <w:tab w:val="num" w:pos="360"/>
        </w:tabs>
      </w:pPr>
    </w:lvl>
    <w:lvl w:ilvl="6" w:tplc="82A09354">
      <w:numFmt w:val="none"/>
      <w:lvlText w:val=""/>
      <w:lvlJc w:val="left"/>
      <w:pPr>
        <w:tabs>
          <w:tab w:val="num" w:pos="360"/>
        </w:tabs>
      </w:pPr>
    </w:lvl>
    <w:lvl w:ilvl="7" w:tplc="6C2AEDA4">
      <w:numFmt w:val="none"/>
      <w:lvlText w:val=""/>
      <w:lvlJc w:val="left"/>
      <w:pPr>
        <w:tabs>
          <w:tab w:val="num" w:pos="360"/>
        </w:tabs>
      </w:pPr>
    </w:lvl>
    <w:lvl w:ilvl="8" w:tplc="3AB8F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EE5"/>
    <w:rsid w:val="00015C15"/>
    <w:rsid w:val="00044DEC"/>
    <w:rsid w:val="000654E3"/>
    <w:rsid w:val="00081A0A"/>
    <w:rsid w:val="00097134"/>
    <w:rsid w:val="000D516D"/>
    <w:rsid w:val="00150D30"/>
    <w:rsid w:val="00195F62"/>
    <w:rsid w:val="001C5509"/>
    <w:rsid w:val="00202565"/>
    <w:rsid w:val="00221446"/>
    <w:rsid w:val="00231E14"/>
    <w:rsid w:val="00274B33"/>
    <w:rsid w:val="002A4C76"/>
    <w:rsid w:val="002B6D61"/>
    <w:rsid w:val="00317B8B"/>
    <w:rsid w:val="003350E4"/>
    <w:rsid w:val="00374A91"/>
    <w:rsid w:val="003E4ECE"/>
    <w:rsid w:val="0043714F"/>
    <w:rsid w:val="004C58E5"/>
    <w:rsid w:val="005156EC"/>
    <w:rsid w:val="00583F9D"/>
    <w:rsid w:val="00594151"/>
    <w:rsid w:val="005C39B4"/>
    <w:rsid w:val="005D75CF"/>
    <w:rsid w:val="00610349"/>
    <w:rsid w:val="00610F4B"/>
    <w:rsid w:val="00645B29"/>
    <w:rsid w:val="006A739D"/>
    <w:rsid w:val="006B372F"/>
    <w:rsid w:val="0071520E"/>
    <w:rsid w:val="00754118"/>
    <w:rsid w:val="00797004"/>
    <w:rsid w:val="007D007C"/>
    <w:rsid w:val="00812AF3"/>
    <w:rsid w:val="00827364"/>
    <w:rsid w:val="00833B44"/>
    <w:rsid w:val="008B2E06"/>
    <w:rsid w:val="008F3517"/>
    <w:rsid w:val="009135E2"/>
    <w:rsid w:val="00976F14"/>
    <w:rsid w:val="009B39E1"/>
    <w:rsid w:val="009C183B"/>
    <w:rsid w:val="009C568F"/>
    <w:rsid w:val="009D7101"/>
    <w:rsid w:val="00A2295A"/>
    <w:rsid w:val="00A34936"/>
    <w:rsid w:val="00A7441D"/>
    <w:rsid w:val="00B00892"/>
    <w:rsid w:val="00B0405E"/>
    <w:rsid w:val="00B241EB"/>
    <w:rsid w:val="00B41569"/>
    <w:rsid w:val="00B66252"/>
    <w:rsid w:val="00B94EE5"/>
    <w:rsid w:val="00BF4770"/>
    <w:rsid w:val="00C05EC0"/>
    <w:rsid w:val="00C82477"/>
    <w:rsid w:val="00C84994"/>
    <w:rsid w:val="00C91A9A"/>
    <w:rsid w:val="00D21EE6"/>
    <w:rsid w:val="00D33BD2"/>
    <w:rsid w:val="00D87AF7"/>
    <w:rsid w:val="00DF1FD5"/>
    <w:rsid w:val="00DF7108"/>
    <w:rsid w:val="00E61FE9"/>
    <w:rsid w:val="00EA24FB"/>
    <w:rsid w:val="00EE7017"/>
    <w:rsid w:val="00F42708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75CF"/>
    <w:pPr>
      <w:ind w:left="720"/>
    </w:pPr>
  </w:style>
  <w:style w:type="table" w:styleId="TableGrid">
    <w:name w:val="Table Grid"/>
    <w:basedOn w:val="TableNormal"/>
    <w:uiPriority w:val="99"/>
    <w:rsid w:val="00D33B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ryshnikovphotography.com/bertewor/%D0%A3%D0%BC%D0%B5%D1%80%D0%B5%D0%BD%D0%BD%D0%BE_%D0%BA%D0%BE%D0%BD%D1%82%D0%B8%D0%BD%D0%B5%D0%BD%D1%82%D0%B0%D0%BB%D1%8C%D0%BD%D1%8B%D0%B9_%D0%BA%D0%BB%D0%B8%D0%BC%D0%B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1262</TotalTime>
  <Pages>9</Pages>
  <Words>2594</Words>
  <Characters>14790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2</cp:lastModifiedBy>
  <cp:revision>31</cp:revision>
  <dcterms:created xsi:type="dcterms:W3CDTF">2014-04-07T09:01:00Z</dcterms:created>
  <dcterms:modified xsi:type="dcterms:W3CDTF">2014-12-29T07:57:00Z</dcterms:modified>
</cp:coreProperties>
</file>