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215" w:rsidRPr="00A461BC" w:rsidRDefault="00D25215" w:rsidP="00D25215">
      <w:pPr>
        <w:pStyle w:val="ConsPlusNormal"/>
        <w:ind w:left="5040"/>
        <w:outlineLvl w:val="0"/>
        <w:rPr>
          <w:rFonts w:ascii="Times New Roman" w:hAnsi="Times New Roman" w:cs="Times New Roman"/>
          <w:sz w:val="24"/>
          <w:szCs w:val="24"/>
        </w:rPr>
      </w:pPr>
      <w:r w:rsidRPr="00A461BC">
        <w:rPr>
          <w:rFonts w:ascii="Times New Roman" w:hAnsi="Times New Roman" w:cs="Times New Roman"/>
          <w:sz w:val="24"/>
          <w:szCs w:val="24"/>
        </w:rPr>
        <w:t>УТВЕРЖДЕНА</w:t>
      </w:r>
    </w:p>
    <w:p w:rsidR="00D25215" w:rsidRPr="00A461BC" w:rsidRDefault="00D25215" w:rsidP="00D25215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A461BC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D25215" w:rsidRPr="00A461BC" w:rsidRDefault="00D25215" w:rsidP="00D25215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A461BC">
        <w:rPr>
          <w:rFonts w:ascii="Times New Roman" w:hAnsi="Times New Roman" w:cs="Times New Roman"/>
          <w:sz w:val="24"/>
          <w:szCs w:val="24"/>
        </w:rPr>
        <w:t>Тихвинского района</w:t>
      </w:r>
    </w:p>
    <w:p w:rsidR="00D25215" w:rsidRPr="00A461BC" w:rsidRDefault="00D25215" w:rsidP="00D25215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A461BC">
        <w:rPr>
          <w:rFonts w:ascii="Times New Roman" w:hAnsi="Times New Roman" w:cs="Times New Roman"/>
          <w:sz w:val="24"/>
          <w:szCs w:val="24"/>
        </w:rPr>
        <w:t xml:space="preserve">от </w:t>
      </w:r>
      <w:r w:rsidR="00A461BC" w:rsidRPr="00A461BC">
        <w:rPr>
          <w:rFonts w:ascii="Times New Roman" w:hAnsi="Times New Roman" w:cs="Times New Roman"/>
          <w:sz w:val="24"/>
          <w:szCs w:val="24"/>
        </w:rPr>
        <w:t xml:space="preserve">31 </w:t>
      </w:r>
      <w:r w:rsidRPr="00A461BC">
        <w:rPr>
          <w:rFonts w:ascii="Times New Roman" w:hAnsi="Times New Roman" w:cs="Times New Roman"/>
          <w:sz w:val="24"/>
          <w:szCs w:val="24"/>
        </w:rPr>
        <w:t>октября 202</w:t>
      </w:r>
      <w:r w:rsidR="00247D04">
        <w:rPr>
          <w:rFonts w:ascii="Times New Roman" w:hAnsi="Times New Roman" w:cs="Times New Roman"/>
          <w:sz w:val="24"/>
          <w:szCs w:val="24"/>
        </w:rPr>
        <w:t>4</w:t>
      </w:r>
      <w:r w:rsidRPr="00A461BC">
        <w:rPr>
          <w:rFonts w:ascii="Times New Roman" w:hAnsi="Times New Roman" w:cs="Times New Roman"/>
          <w:sz w:val="24"/>
          <w:szCs w:val="24"/>
        </w:rPr>
        <w:t xml:space="preserve"> г. №01-</w:t>
      </w:r>
      <w:r w:rsidR="00247D04">
        <w:rPr>
          <w:rFonts w:ascii="Times New Roman" w:hAnsi="Times New Roman" w:cs="Times New Roman"/>
          <w:sz w:val="24"/>
          <w:szCs w:val="24"/>
        </w:rPr>
        <w:t>2612</w:t>
      </w:r>
      <w:r w:rsidRPr="00A461BC">
        <w:rPr>
          <w:rFonts w:ascii="Times New Roman" w:hAnsi="Times New Roman" w:cs="Times New Roman"/>
          <w:sz w:val="24"/>
          <w:szCs w:val="24"/>
        </w:rPr>
        <w:t>-а</w:t>
      </w:r>
    </w:p>
    <w:p w:rsidR="00D25215" w:rsidRPr="00A461BC" w:rsidRDefault="00D25215" w:rsidP="00D25215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A461BC">
        <w:rPr>
          <w:rFonts w:ascii="Times New Roman" w:hAnsi="Times New Roman" w:cs="Times New Roman"/>
          <w:sz w:val="24"/>
          <w:szCs w:val="24"/>
        </w:rPr>
        <w:t>(приложение)</w:t>
      </w:r>
    </w:p>
    <w:p w:rsidR="00D25215" w:rsidRPr="00A461BC" w:rsidRDefault="00D25215" w:rsidP="00D252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ТИХВИНСКОГО ГОРОДСКОГО ПОСЕЛЕНИЯ</w:t>
      </w: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«ОБЕСПЕЧЕНИЕ КАЧЕСТВЕННЫМ ЖИЛЬЕМ ГРАЖДАН НА</w:t>
      </w: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ТЕРРИТОРИИ ТИХВИНСКОГО ГОРОДСКОГО ПОСЕЛЕНИЯ»</w:t>
      </w:r>
    </w:p>
    <w:p w:rsidR="0021102A" w:rsidRDefault="0021102A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муниципальной программы Тихвинского городского поселения</w:t>
      </w:r>
    </w:p>
    <w:p w:rsidR="00D25215" w:rsidRP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«Обеспечение качественным жильем граждан</w:t>
      </w:r>
    </w:p>
    <w:p w:rsidR="00D25215" w:rsidRDefault="00D25215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15">
        <w:rPr>
          <w:rFonts w:ascii="Times New Roman" w:hAnsi="Times New Roman" w:cs="Times New Roman"/>
          <w:b/>
          <w:sz w:val="24"/>
          <w:szCs w:val="24"/>
        </w:rPr>
        <w:t>на территории Тихвинского городского поселения»</w:t>
      </w:r>
    </w:p>
    <w:p w:rsidR="008D734E" w:rsidRDefault="008D734E" w:rsidP="00D2521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-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97"/>
        <w:gridCol w:w="6301"/>
      </w:tblGrid>
      <w:tr w:rsidR="00247D04" w:rsidRPr="00390110" w:rsidTr="00BE4799">
        <w:trPr>
          <w:hidden/>
        </w:trPr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vanish/>
                <w:color w:val="000000"/>
                <w:sz w:val="24"/>
                <w:szCs w:val="24"/>
                <w:lang w:eastAsia="en-US"/>
              </w:rPr>
              <w:t xml:space="preserve">#G0Этапы и сроки реализации </w:t>
            </w: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2025-2027 годы                   </w:t>
            </w: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Комитет ж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илищно-коммунального хозяйства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247D04" w:rsidRPr="00390110" w:rsidTr="00BE4799">
        <w:trPr>
          <w:trHeight w:val="388"/>
        </w:trPr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Соисполнители  муниципальной программы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Жилищный отдел, отдел коммунального хозяйства, отдел по строительству</w:t>
            </w: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Участники муниципальной программы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Улучшение жилищных условий граждан, проживающих на территории Т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ихвинского городского поселения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Задачи Муниципальной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программы      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предоставление социальных выплат на строительство (приобретение) жилья молодым семьям, нуждающимися в улучшении жилищных условий; 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предоставление дополнительной социальной выплаты в случае рождения (усыновления) детей для погашения части расходов, связанных со строительством (приобретением) жилого помещения, в том числе на погашение основной суммы долга и уплату процентов по жилищным кредитам (займам) на строительство (приобретение) жилья;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создание условий для привлечения гражданами средств ипотечных    жилищных    кредитов    для    строительства (приобретения) жилых помещений;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снос и реконструкция аварийных домов;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- выполнение работ по капитальному ремонту общего имущества в МКД;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-совершенствование механизмов развития инженерной и транспортной инфраструктуры в районах массовой жилой застройки на территории Тихвинского городского поселения </w:t>
            </w: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(конечные результаты) реализации муниципальной программы 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Увеличения количества молодых семей, улучшивших жилищные условия;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Улучшение жилищных условий граждан, проживающих в жилых помещениях, признанных непригодными для постоянного проживания;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Сокращение авариного жилищного фонда на территории Тихвинского городского поселения;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Создание безопасных и комфортных условий для проживания граждан в многоквартирных жилых домах путем выполнения капитального и (или) текущего ремонта общего имущества;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color w:val="000000"/>
                <w:sz w:val="24"/>
                <w:szCs w:val="24"/>
                <w:lang w:eastAsia="en-US"/>
              </w:rPr>
              <w:t>Рост числа земельных участков под индивидуальное жилищное строительство, обеспеченных инженерной и транспортной инфраструктурой</w:t>
            </w: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sz w:val="24"/>
                <w:szCs w:val="24"/>
                <w:lang w:eastAsia="en-US"/>
              </w:rPr>
              <w:t>Финансовое обеспечение государственной программы - всего, в том числе по годам реализации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390110">
              <w:rPr>
                <w:rFonts w:eastAsia="Calibri"/>
                <w:sz w:val="24"/>
                <w:szCs w:val="24"/>
                <w:lang w:eastAsia="en-US"/>
              </w:rPr>
              <w:t xml:space="preserve">Общий объем финансирования государственной программы составляет </w:t>
            </w:r>
            <w:r w:rsidRPr="00390110">
              <w:rPr>
                <w:rFonts w:eastAsia="Calibri"/>
                <w:b/>
                <w:sz w:val="24"/>
                <w:szCs w:val="24"/>
                <w:lang w:eastAsia="en-US"/>
              </w:rPr>
              <w:t>125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Pr="00390110">
              <w:rPr>
                <w:rFonts w:eastAsia="Calibri"/>
                <w:b/>
                <w:sz w:val="24"/>
                <w:szCs w:val="24"/>
                <w:lang w:eastAsia="en-US"/>
              </w:rPr>
              <w:t xml:space="preserve">804,8 </w:t>
            </w:r>
            <w:r w:rsidRPr="00390110">
              <w:rPr>
                <w:b/>
                <w:color w:val="000000"/>
                <w:sz w:val="24"/>
                <w:szCs w:val="24"/>
              </w:rPr>
              <w:t>тыс. рублей</w:t>
            </w:r>
            <w:r w:rsidRPr="00390110">
              <w:rPr>
                <w:color w:val="000000"/>
                <w:sz w:val="24"/>
                <w:szCs w:val="24"/>
              </w:rPr>
              <w:t>, в том числе:</w:t>
            </w:r>
          </w:p>
          <w:p w:rsidR="00247D04" w:rsidRPr="00390110" w:rsidRDefault="00247D04" w:rsidP="00BE4799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sz w:val="24"/>
                <w:szCs w:val="24"/>
                <w:lang w:eastAsia="en-US"/>
              </w:rPr>
              <w:t>2025 год – 39662,6 тыс. рублей;</w:t>
            </w:r>
          </w:p>
          <w:p w:rsidR="00247D04" w:rsidRPr="00390110" w:rsidRDefault="00247D04" w:rsidP="00BE4799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sz w:val="24"/>
                <w:szCs w:val="24"/>
                <w:lang w:eastAsia="en-US"/>
              </w:rPr>
              <w:t>2026 год – 43202,6 тыс. рублей;</w:t>
            </w:r>
          </w:p>
          <w:p w:rsidR="00247D04" w:rsidRPr="00390110" w:rsidRDefault="00247D04" w:rsidP="00BE4799">
            <w:pPr>
              <w:suppressAutoHyphens/>
              <w:spacing w:after="160"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sz w:val="24"/>
                <w:szCs w:val="24"/>
                <w:lang w:eastAsia="en-US"/>
              </w:rPr>
              <w:t>2027 год – 42939,6 тыс. рублей</w:t>
            </w:r>
          </w:p>
        </w:tc>
      </w:tr>
      <w:tr w:rsidR="00247D04" w:rsidRPr="00390110" w:rsidTr="00BE4799">
        <w:tc>
          <w:tcPr>
            <w:tcW w:w="3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программы.</w:t>
            </w:r>
          </w:p>
        </w:tc>
        <w:tc>
          <w:tcPr>
            <w:tcW w:w="6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7D04" w:rsidRPr="00390110" w:rsidRDefault="00247D04" w:rsidP="00BE4799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90110">
              <w:rPr>
                <w:rFonts w:eastAsia="Calibri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:rsidR="00D25215" w:rsidRDefault="00D25215" w:rsidP="00D25215">
      <w:pPr>
        <w:rPr>
          <w:sz w:val="24"/>
          <w:szCs w:val="22"/>
        </w:rPr>
      </w:pPr>
    </w:p>
    <w:p w:rsidR="0079412D" w:rsidRPr="00D25215" w:rsidRDefault="000D34E8" w:rsidP="000D34E8">
      <w:pPr>
        <w:ind w:firstLine="709"/>
        <w:jc w:val="center"/>
        <w:rPr>
          <w:sz w:val="24"/>
          <w:szCs w:val="22"/>
        </w:rPr>
      </w:pPr>
      <w:r>
        <w:rPr>
          <w:sz w:val="24"/>
          <w:szCs w:val="22"/>
        </w:rPr>
        <w:t>________</w:t>
      </w:r>
    </w:p>
    <w:sectPr w:rsidR="0079412D" w:rsidRPr="00D25215" w:rsidSect="0021102A">
      <w:headerReference w:type="default" r:id="rId8"/>
      <w:pgSz w:w="11907" w:h="16840"/>
      <w:pgMar w:top="1389" w:right="1134" w:bottom="992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03" w:rsidRDefault="00362203" w:rsidP="000D34E8">
      <w:r>
        <w:separator/>
      </w:r>
    </w:p>
  </w:endnote>
  <w:endnote w:type="continuationSeparator" w:id="0">
    <w:p w:rsidR="00362203" w:rsidRDefault="00362203" w:rsidP="000D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03" w:rsidRDefault="00362203" w:rsidP="000D34E8">
      <w:r>
        <w:separator/>
      </w:r>
    </w:p>
  </w:footnote>
  <w:footnote w:type="continuationSeparator" w:id="0">
    <w:p w:rsidR="00362203" w:rsidRDefault="00362203" w:rsidP="000D3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93" w:rsidRPr="00A461BC" w:rsidRDefault="00784B93">
    <w:pPr>
      <w:pStyle w:val="a9"/>
      <w:jc w:val="center"/>
    </w:pPr>
    <w:r w:rsidRPr="00A461BC">
      <w:fldChar w:fldCharType="begin"/>
    </w:r>
    <w:r w:rsidRPr="00A461BC">
      <w:instrText>PAGE   \* MERGEFORMAT</w:instrText>
    </w:r>
    <w:r w:rsidRPr="00A461BC">
      <w:fldChar w:fldCharType="separate"/>
    </w:r>
    <w:r w:rsidR="00247D04">
      <w:rPr>
        <w:noProof/>
      </w:rPr>
      <w:t>1</w:t>
    </w:r>
    <w:r w:rsidRPr="00A461BC">
      <w:fldChar w:fldCharType="end"/>
    </w:r>
  </w:p>
  <w:p w:rsidR="00784B93" w:rsidRDefault="00784B9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A62D2"/>
    <w:multiLevelType w:val="hybridMultilevel"/>
    <w:tmpl w:val="FA2C026C"/>
    <w:lvl w:ilvl="0" w:tplc="CF322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0659CF"/>
    <w:multiLevelType w:val="hybridMultilevel"/>
    <w:tmpl w:val="35FC5F34"/>
    <w:lvl w:ilvl="0" w:tplc="5D7E030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478EB"/>
    <w:rsid w:val="000D34E8"/>
    <w:rsid w:val="000F1A02"/>
    <w:rsid w:val="00137667"/>
    <w:rsid w:val="001464B2"/>
    <w:rsid w:val="001A2440"/>
    <w:rsid w:val="001B4F8D"/>
    <w:rsid w:val="001F265D"/>
    <w:rsid w:val="0021102A"/>
    <w:rsid w:val="00227B56"/>
    <w:rsid w:val="00247D04"/>
    <w:rsid w:val="00285D0C"/>
    <w:rsid w:val="002A2B11"/>
    <w:rsid w:val="002F22EB"/>
    <w:rsid w:val="00326996"/>
    <w:rsid w:val="00362203"/>
    <w:rsid w:val="003E1DE3"/>
    <w:rsid w:val="004271C2"/>
    <w:rsid w:val="0043001D"/>
    <w:rsid w:val="004914DD"/>
    <w:rsid w:val="00511A2B"/>
    <w:rsid w:val="00554BEC"/>
    <w:rsid w:val="00567561"/>
    <w:rsid w:val="00595F6F"/>
    <w:rsid w:val="005C0140"/>
    <w:rsid w:val="005F77ED"/>
    <w:rsid w:val="006415B0"/>
    <w:rsid w:val="006463D8"/>
    <w:rsid w:val="00682CA6"/>
    <w:rsid w:val="00682EC5"/>
    <w:rsid w:val="006C17AB"/>
    <w:rsid w:val="00711921"/>
    <w:rsid w:val="00784B93"/>
    <w:rsid w:val="0079412D"/>
    <w:rsid w:val="00796BD1"/>
    <w:rsid w:val="007A7155"/>
    <w:rsid w:val="00851DB8"/>
    <w:rsid w:val="008A3858"/>
    <w:rsid w:val="008D734E"/>
    <w:rsid w:val="009840BA"/>
    <w:rsid w:val="009E6188"/>
    <w:rsid w:val="00A03876"/>
    <w:rsid w:val="00A13C7B"/>
    <w:rsid w:val="00A461BC"/>
    <w:rsid w:val="00A62D6D"/>
    <w:rsid w:val="00AE1A2A"/>
    <w:rsid w:val="00B52D22"/>
    <w:rsid w:val="00B83D8D"/>
    <w:rsid w:val="00B95FEE"/>
    <w:rsid w:val="00BF2B0B"/>
    <w:rsid w:val="00C376E8"/>
    <w:rsid w:val="00D25215"/>
    <w:rsid w:val="00D368DC"/>
    <w:rsid w:val="00D97342"/>
    <w:rsid w:val="00E84E7F"/>
    <w:rsid w:val="00EA4DF7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04FCF-0A16-4F61-871E-7D026F10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521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header"/>
    <w:basedOn w:val="a"/>
    <w:link w:val="aa"/>
    <w:uiPriority w:val="99"/>
    <w:rsid w:val="000D34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D34E8"/>
    <w:rPr>
      <w:sz w:val="28"/>
    </w:rPr>
  </w:style>
  <w:style w:type="paragraph" w:styleId="ab">
    <w:name w:val="footer"/>
    <w:basedOn w:val="a"/>
    <w:link w:val="ac"/>
    <w:rsid w:val="000D34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D34E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0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C1F09-53E7-4AB1-BBFA-020E1771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cp:lastModifiedBy>Вероника Корцова</cp:lastModifiedBy>
  <cp:revision>10</cp:revision>
  <cp:lastPrinted>2023-11-13T13:44:00Z</cp:lastPrinted>
  <dcterms:created xsi:type="dcterms:W3CDTF">2023-10-30T12:55:00Z</dcterms:created>
  <dcterms:modified xsi:type="dcterms:W3CDTF">2024-11-12T08:36:00Z</dcterms:modified>
</cp:coreProperties>
</file>